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6EA8" w14:textId="4D8EC55F" w:rsidR="00510841" w:rsidRDefault="00510841" w:rsidP="00510841">
      <w:pPr>
        <w:rPr>
          <w:sz w:val="2"/>
          <w:szCs w:val="2"/>
        </w:rPr>
      </w:pPr>
      <w:r>
        <w:rPr>
          <w:noProof/>
          <w:sz w:val="2"/>
          <w:szCs w:val="2"/>
        </w:rPr>
        <w:drawing>
          <wp:anchor distT="0" distB="0" distL="114300" distR="114300" simplePos="0" relativeHeight="251660288" behindDoc="1" locked="0" layoutInCell="1" allowOverlap="1" wp14:anchorId="74589DBF" wp14:editId="2D3B483A">
            <wp:simplePos x="0" y="0"/>
            <wp:positionH relativeFrom="column">
              <wp:posOffset>598805</wp:posOffset>
            </wp:positionH>
            <wp:positionV relativeFrom="paragraph">
              <wp:posOffset>298450</wp:posOffset>
            </wp:positionV>
            <wp:extent cx="2405969" cy="8567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5969" cy="856735"/>
                    </a:xfrm>
                    <a:prstGeom prst="rect">
                      <a:avLst/>
                    </a:prstGeom>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1312" behindDoc="1" locked="0" layoutInCell="1" allowOverlap="1" wp14:anchorId="0D3C12EB" wp14:editId="54AE82DC">
            <wp:simplePos x="0" y="0"/>
            <wp:positionH relativeFrom="column">
              <wp:posOffset>7177405</wp:posOffset>
            </wp:positionH>
            <wp:positionV relativeFrom="paragraph">
              <wp:posOffset>3810</wp:posOffset>
            </wp:positionV>
            <wp:extent cx="385531" cy="963827"/>
            <wp:effectExtent l="0" t="0" r="0"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5531" cy="963827"/>
                    </a:xfrm>
                    <a:prstGeom prst="rect">
                      <a:avLst/>
                    </a:prstGeom>
                  </pic:spPr>
                </pic:pic>
              </a:graphicData>
            </a:graphic>
            <wp14:sizeRelH relativeFrom="page">
              <wp14:pctWidth>0</wp14:pctWidth>
            </wp14:sizeRelH>
            <wp14:sizeRelV relativeFrom="page">
              <wp14:pctHeight>0</wp14:pctHeight>
            </wp14:sizeRelV>
          </wp:anchor>
        </w:drawing>
      </w:r>
    </w:p>
    <w:p w14:paraId="46977CBE" w14:textId="6A72D756" w:rsidR="002E6862" w:rsidRDefault="002E6862" w:rsidP="00510841"/>
    <w:p w14:paraId="52BBE62B" w14:textId="0D79D6FE" w:rsidR="00510841" w:rsidRDefault="00510841" w:rsidP="00510841"/>
    <w:p w14:paraId="163979CF" w14:textId="3602C222" w:rsidR="00510841" w:rsidRDefault="00510841" w:rsidP="00510841"/>
    <w:p w14:paraId="22DE5437" w14:textId="46518EDB" w:rsidR="00510841" w:rsidRDefault="00510841" w:rsidP="00510841"/>
    <w:p w14:paraId="41E24F56" w14:textId="220A5FAD" w:rsidR="00510841" w:rsidRDefault="00510841" w:rsidP="00510841"/>
    <w:p w14:paraId="030523A1" w14:textId="7734784E" w:rsidR="00510841" w:rsidRDefault="00510841" w:rsidP="00510841"/>
    <w:p w14:paraId="32F8379C" w14:textId="777A1C08" w:rsidR="00510841" w:rsidRDefault="00510841" w:rsidP="00510841"/>
    <w:p w14:paraId="2292603C" w14:textId="6245D833" w:rsidR="00510841" w:rsidRDefault="00510841" w:rsidP="00510841"/>
    <w:p w14:paraId="0302D9F7" w14:textId="25EAC0D3" w:rsidR="00510841" w:rsidRDefault="006F21EB" w:rsidP="00510841">
      <w:r w:rsidRPr="00CA6641">
        <w:rPr>
          <w:noProof/>
          <w:sz w:val="2"/>
          <w:szCs w:val="2"/>
        </w:rPr>
        <mc:AlternateContent>
          <mc:Choice Requires="wps">
            <w:drawing>
              <wp:anchor distT="45720" distB="45720" distL="114300" distR="114300" simplePos="0" relativeHeight="251664384" behindDoc="0" locked="0" layoutInCell="1" allowOverlap="1" wp14:anchorId="2D1E22B6" wp14:editId="1DFC67CF">
                <wp:simplePos x="0" y="0"/>
                <wp:positionH relativeFrom="column">
                  <wp:posOffset>447675</wp:posOffset>
                </wp:positionH>
                <wp:positionV relativeFrom="paragraph">
                  <wp:posOffset>67945</wp:posOffset>
                </wp:positionV>
                <wp:extent cx="6943725" cy="8648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8648700"/>
                        </a:xfrm>
                        <a:prstGeom prst="rect">
                          <a:avLst/>
                        </a:prstGeom>
                        <a:solidFill>
                          <a:srgbClr val="FFFFFF"/>
                        </a:solidFill>
                        <a:ln w="9525">
                          <a:noFill/>
                          <a:miter lim="800000"/>
                          <a:headEnd/>
                          <a:tailEnd/>
                        </a:ln>
                      </wps:spPr>
                      <wps:txbx>
                        <w:txbxContent>
                          <w:p w14:paraId="1BE3799D" w14:textId="77777777" w:rsidR="00510841" w:rsidRPr="00DF47C0" w:rsidRDefault="00510841" w:rsidP="00510841">
                            <w:pPr>
                              <w:pStyle w:val="ListParagraph"/>
                              <w:rPr>
                                <w:rFonts w:ascii="Gilroy ExtraBold" w:eastAsiaTheme="minorHAnsi" w:hAnsi="Gilroy ExtraBold" w:cs="Calibri"/>
                                <w:b/>
                                <w:bCs/>
                                <w:color w:val="000000"/>
                                <w:sz w:val="28"/>
                                <w:szCs w:val="28"/>
                                <w:lang w:val="en-GB" w:eastAsia="en-GB"/>
                              </w:rPr>
                            </w:pPr>
                            <w:r w:rsidRPr="00DF47C0">
                              <w:rPr>
                                <w:rFonts w:ascii="Gilroy ExtraBold" w:eastAsiaTheme="minorHAnsi" w:hAnsi="Gilroy ExtraBold" w:cs="Calibri"/>
                                <w:b/>
                                <w:bCs/>
                                <w:color w:val="000000"/>
                                <w:sz w:val="28"/>
                                <w:szCs w:val="28"/>
                                <w:lang w:val="en-GB" w:eastAsia="en-GB"/>
                              </w:rPr>
                              <w:t xml:space="preserve">THE AORTIC DISSECTION CHARITABLE TRUST </w:t>
                            </w:r>
                          </w:p>
                          <w:p w14:paraId="00BD4CF6" w14:textId="77777777" w:rsidR="00510841" w:rsidRDefault="00510841" w:rsidP="00510841">
                            <w:pPr>
                              <w:pStyle w:val="ListParagraph"/>
                              <w:rPr>
                                <w:rFonts w:ascii="Gilroy ExtraBold" w:eastAsiaTheme="minorHAnsi" w:hAnsi="Gilroy ExtraBold" w:cs="Calibri"/>
                                <w:b/>
                                <w:bCs/>
                                <w:color w:val="000000"/>
                                <w:sz w:val="28"/>
                                <w:szCs w:val="28"/>
                                <w:lang w:val="en-GB" w:eastAsia="en-GB"/>
                              </w:rPr>
                            </w:pPr>
                            <w:r w:rsidRPr="00DF47C0">
                              <w:rPr>
                                <w:rFonts w:ascii="Gilroy ExtraBold" w:eastAsiaTheme="minorHAnsi" w:hAnsi="Gilroy ExtraBold" w:cs="Calibri"/>
                                <w:b/>
                                <w:bCs/>
                                <w:color w:val="000000"/>
                                <w:sz w:val="28"/>
                                <w:szCs w:val="28"/>
                                <w:lang w:val="en-GB" w:eastAsia="en-GB"/>
                              </w:rPr>
                              <w:t>RESEARCH GRANT TERMS AND CONDITIONS</w:t>
                            </w:r>
                          </w:p>
                          <w:p w14:paraId="793E336F" w14:textId="77777777" w:rsidR="00510841" w:rsidRPr="00CB4546" w:rsidRDefault="00510841" w:rsidP="00510841">
                            <w:pPr>
                              <w:pStyle w:val="ListParagraph"/>
                              <w:rPr>
                                <w:rFonts w:ascii="Gilroy Light" w:eastAsiaTheme="minorHAnsi" w:hAnsi="Gilroy Light" w:cs="Calibri"/>
                                <w:color w:val="000000"/>
                                <w:lang w:val="en-GB" w:eastAsia="en-GB"/>
                              </w:rPr>
                            </w:pPr>
                          </w:p>
                          <w:p w14:paraId="624820C2" w14:textId="77777777" w:rsidR="00510841" w:rsidRPr="00DF47C0" w:rsidRDefault="00510841" w:rsidP="00510841">
                            <w:pPr>
                              <w:pStyle w:val="ListParagraph"/>
                              <w:rPr>
                                <w:rFonts w:ascii="Gilroy Light" w:eastAsiaTheme="minorHAnsi" w:hAnsi="Gilroy Light" w:cs="Calibri"/>
                                <w:b/>
                                <w:bCs/>
                                <w:color w:val="000000"/>
                                <w:lang w:val="en-GB" w:eastAsia="en-GB"/>
                              </w:rPr>
                            </w:pPr>
                            <w:r w:rsidRPr="00DF47C0">
                              <w:rPr>
                                <w:rFonts w:ascii="Gilroy Light" w:eastAsiaTheme="minorHAnsi" w:hAnsi="Gilroy Light" w:cs="Calibri"/>
                                <w:b/>
                                <w:bCs/>
                                <w:color w:val="000000"/>
                                <w:lang w:val="en-GB" w:eastAsia="en-GB"/>
                              </w:rPr>
                              <w:t>These terms and conditions apply to all awards given by The Aortic Dissection Charitable Trust (TADCT), whose registered office is PO Box 812, Hope Valley, S40 9QYand will apply to and be deemed to form part of any agreement under which The Aortic Dissection Charitable Trust provides funding to any third party for the carrying out of any research or other work.</w:t>
                            </w:r>
                          </w:p>
                          <w:p w14:paraId="041DAC64" w14:textId="77777777" w:rsidR="00510841" w:rsidRPr="00DF47C0" w:rsidRDefault="00510841" w:rsidP="00510841">
                            <w:pPr>
                              <w:pStyle w:val="ListParagraph"/>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 xml:space="preserve"> </w:t>
                            </w:r>
                          </w:p>
                          <w:p w14:paraId="016B19C0" w14:textId="77777777" w:rsidR="00510841" w:rsidRPr="00DF47C0" w:rsidRDefault="00510841" w:rsidP="00510841">
                            <w:pPr>
                              <w:pStyle w:val="ListParagraph"/>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All research grant awards will be subject to the following:</w:t>
                            </w:r>
                          </w:p>
                          <w:p w14:paraId="04C78EAE" w14:textId="77777777" w:rsidR="00510841" w:rsidRPr="00DF47C0" w:rsidRDefault="00510841" w:rsidP="00510841">
                            <w:pPr>
                              <w:pStyle w:val="ListParagraph"/>
                              <w:rPr>
                                <w:rFonts w:ascii="Gilroy Light" w:eastAsiaTheme="minorHAnsi" w:hAnsi="Gilroy Light" w:cs="Calibri"/>
                                <w:color w:val="000000"/>
                                <w:lang w:val="en-GB" w:eastAsia="en-GB"/>
                              </w:rPr>
                            </w:pPr>
                          </w:p>
                          <w:p w14:paraId="76B957F7" w14:textId="77777777" w:rsidR="00510841" w:rsidRPr="00DF47C0" w:rsidRDefault="00510841" w:rsidP="00510841">
                            <w:pPr>
                              <w:pStyle w:val="ListParagraph"/>
                              <w:numPr>
                                <w:ilvl w:val="0"/>
                                <w:numId w:val="4"/>
                              </w:numPr>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 xml:space="preserve">Acknowledgement of TADCT support must be made in all publications and papers or posters resulting from work concerned using the full name of the charity namely The Aortic Dissection Charitable Trust. We expect all research to be published in a peer-reviewed publication. A full list of publications arising from the grant with copies of all publications should be created and made available to the charity.  </w:t>
                            </w:r>
                          </w:p>
                          <w:p w14:paraId="3F709141" w14:textId="77777777" w:rsidR="00510841" w:rsidRPr="00DF47C0" w:rsidRDefault="00510841" w:rsidP="00510841">
                            <w:pPr>
                              <w:pStyle w:val="ListParagraph"/>
                              <w:rPr>
                                <w:rFonts w:ascii="Gilroy Light" w:eastAsiaTheme="minorHAnsi" w:hAnsi="Gilroy Light" w:cs="Calibri"/>
                                <w:color w:val="000000"/>
                                <w:lang w:val="en-GB" w:eastAsia="en-GB"/>
                              </w:rPr>
                            </w:pPr>
                          </w:p>
                          <w:p w14:paraId="5C814234" w14:textId="77777777" w:rsidR="00510841" w:rsidRPr="00DF47C0" w:rsidRDefault="00510841" w:rsidP="00510841">
                            <w:pPr>
                              <w:pStyle w:val="ListParagraph"/>
                              <w:numPr>
                                <w:ilvl w:val="0"/>
                                <w:numId w:val="4"/>
                              </w:numPr>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Agreement to all appropriate publicity.  You will be expected to support the charity in any publicity surrounding the awards with the aim of furthering the work of the charity.</w:t>
                            </w:r>
                          </w:p>
                          <w:p w14:paraId="65D5ABB1" w14:textId="77777777" w:rsidR="00510841" w:rsidRPr="00DF47C0" w:rsidRDefault="00510841" w:rsidP="00510841">
                            <w:pPr>
                              <w:pStyle w:val="ListParagraph"/>
                              <w:rPr>
                                <w:rFonts w:ascii="Gilroy Light" w:eastAsiaTheme="minorHAnsi" w:hAnsi="Gilroy Light" w:cs="Calibri"/>
                                <w:color w:val="000000"/>
                                <w:lang w:val="en-GB" w:eastAsia="en-GB"/>
                              </w:rPr>
                            </w:pPr>
                          </w:p>
                          <w:p w14:paraId="10324CDA" w14:textId="77777777" w:rsidR="00454BAA" w:rsidRDefault="00510841" w:rsidP="00510841">
                            <w:pPr>
                              <w:pStyle w:val="ListParagraph"/>
                              <w:numPr>
                                <w:ilvl w:val="0"/>
                                <w:numId w:val="4"/>
                              </w:numPr>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Preparation of a progress report, and agreement to any visit by the Board of Trustees or other nominated representative.  6 monthly reports should be sent to TADCT, and a full detailed report should be submitted at the end of the project.</w:t>
                            </w:r>
                          </w:p>
                          <w:p w14:paraId="74BAF26D" w14:textId="77777777" w:rsidR="00454BAA" w:rsidRPr="00454BAA" w:rsidRDefault="00454BAA" w:rsidP="00454BAA">
                            <w:pPr>
                              <w:pStyle w:val="ListParagraph"/>
                              <w:rPr>
                                <w:rFonts w:ascii="Gilroy Light" w:eastAsiaTheme="minorHAnsi" w:hAnsi="Gilroy Light" w:cs="Calibri"/>
                                <w:color w:val="000000"/>
                                <w:lang w:val="en-GB" w:eastAsia="en-GB"/>
                              </w:rPr>
                            </w:pPr>
                          </w:p>
                          <w:p w14:paraId="62D3D5BB" w14:textId="6F5EF1E5" w:rsidR="00454BAA" w:rsidRPr="00454BAA" w:rsidRDefault="00454BAA" w:rsidP="00454BAA">
                            <w:pPr>
                              <w:pStyle w:val="ListParagraph"/>
                              <w:numPr>
                                <w:ilvl w:val="0"/>
                                <w:numId w:val="4"/>
                              </w:numPr>
                              <w:rPr>
                                <w:rFonts w:ascii="Gilroy Light" w:eastAsiaTheme="minorHAnsi" w:hAnsi="Gilroy Light" w:cs="Calibri"/>
                                <w:color w:val="000000"/>
                                <w:lang w:val="en-GB" w:eastAsia="en-GB"/>
                              </w:rPr>
                            </w:pPr>
                            <w:r>
                              <w:rPr>
                                <w:rFonts w:ascii="Gilroy Light" w:eastAsiaTheme="minorHAnsi" w:hAnsi="Gilroy Light" w:cs="Calibri"/>
                                <w:color w:val="000000"/>
                                <w:lang w:val="en-GB" w:eastAsia="en-GB"/>
                              </w:rPr>
                              <w:t>A</w:t>
                            </w:r>
                            <w:r w:rsidRPr="00454BAA">
                              <w:rPr>
                                <w:rFonts w:ascii="Gilroy Light" w:eastAsiaTheme="minorHAnsi" w:hAnsi="Gilroy Light" w:cs="Calibri"/>
                                <w:color w:val="000000"/>
                                <w:lang w:val="en-GB" w:eastAsia="en-GB"/>
                              </w:rPr>
                              <w:t xml:space="preserve">ll relevant ethical and institutional approvals will be in place before grant funds are </w:t>
                            </w:r>
                            <w:r w:rsidRPr="00454BAA">
                              <w:rPr>
                                <w:rFonts w:ascii="Gilroy Light" w:eastAsiaTheme="minorHAnsi" w:hAnsi="Gilroy Light" w:cs="Calibri"/>
                                <w:color w:val="000000"/>
                                <w:lang w:val="en-GB" w:eastAsia="en-GB"/>
                              </w:rPr>
                              <w:t>awarded.</w:t>
                            </w:r>
                          </w:p>
                          <w:p w14:paraId="20511D0A" w14:textId="77777777" w:rsidR="00454BAA" w:rsidRPr="00454BAA" w:rsidRDefault="00454BAA" w:rsidP="00454BAA">
                            <w:pPr>
                              <w:pStyle w:val="ListParagraph"/>
                              <w:ind w:left="720"/>
                              <w:rPr>
                                <w:rFonts w:ascii="Gilroy Light" w:eastAsiaTheme="minorHAnsi" w:hAnsi="Gilroy Light" w:cs="Calibri"/>
                                <w:color w:val="000000"/>
                                <w:lang w:val="en-GB" w:eastAsia="en-GB"/>
                              </w:rPr>
                            </w:pPr>
                          </w:p>
                          <w:p w14:paraId="4FE672F0" w14:textId="7361AFA0" w:rsidR="00510841" w:rsidRPr="00DF47C0" w:rsidRDefault="00510841" w:rsidP="00510841">
                            <w:pPr>
                              <w:pStyle w:val="ListParagraph"/>
                              <w:numPr>
                                <w:ilvl w:val="0"/>
                                <w:numId w:val="4"/>
                              </w:numPr>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 xml:space="preserve">The award will only made once appropriate ethics committee approval has been granted. The award may be paid in full or, depending upon the nature of the award, pay in 6 monthly </w:t>
                            </w:r>
                            <w:r w:rsidR="00102AC3" w:rsidRPr="00DF47C0">
                              <w:rPr>
                                <w:rFonts w:ascii="Gilroy Light" w:eastAsiaTheme="minorHAnsi" w:hAnsi="Gilroy Light" w:cs="Calibri"/>
                                <w:color w:val="000000"/>
                                <w:lang w:val="en-GB" w:eastAsia="en-GB"/>
                              </w:rPr>
                              <w:t>instalments</w:t>
                            </w:r>
                            <w:r w:rsidRPr="00DF47C0">
                              <w:rPr>
                                <w:rFonts w:ascii="Gilroy Light" w:eastAsiaTheme="minorHAnsi" w:hAnsi="Gilroy Light" w:cs="Calibri"/>
                                <w:color w:val="000000"/>
                                <w:lang w:val="en-GB" w:eastAsia="en-GB"/>
                              </w:rPr>
                              <w:t xml:space="preserve"> upon receipt of satisfactory reports.</w:t>
                            </w:r>
                          </w:p>
                          <w:p w14:paraId="706214F1" w14:textId="77777777" w:rsidR="00510841" w:rsidRPr="00DF47C0" w:rsidRDefault="00510841" w:rsidP="00510841">
                            <w:pPr>
                              <w:pStyle w:val="ListParagraph"/>
                              <w:rPr>
                                <w:rFonts w:ascii="Gilroy Light" w:eastAsiaTheme="minorHAnsi" w:hAnsi="Gilroy Light" w:cs="Calibri"/>
                                <w:color w:val="000000"/>
                                <w:lang w:val="en-GB" w:eastAsia="en-GB"/>
                              </w:rPr>
                            </w:pPr>
                          </w:p>
                          <w:p w14:paraId="7DCA5C6E" w14:textId="77777777" w:rsidR="00510841" w:rsidRPr="00DF47C0" w:rsidRDefault="00510841" w:rsidP="00510841">
                            <w:pPr>
                              <w:pStyle w:val="ListParagraph"/>
                              <w:numPr>
                                <w:ilvl w:val="0"/>
                                <w:numId w:val="4"/>
                              </w:numPr>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The charity will not support any applications involving animal experimentation.</w:t>
                            </w:r>
                          </w:p>
                          <w:p w14:paraId="5748E3F7" w14:textId="77777777" w:rsidR="00510841" w:rsidRPr="00DF47C0" w:rsidRDefault="00510841" w:rsidP="00510841">
                            <w:pPr>
                              <w:pStyle w:val="ListParagraph"/>
                              <w:rPr>
                                <w:rFonts w:ascii="Gilroy Light" w:eastAsiaTheme="minorHAnsi" w:hAnsi="Gilroy Light" w:cs="Calibri"/>
                                <w:color w:val="000000"/>
                                <w:lang w:val="en-GB" w:eastAsia="en-GB"/>
                              </w:rPr>
                            </w:pPr>
                          </w:p>
                          <w:p w14:paraId="225E6C40" w14:textId="77777777" w:rsidR="00510841" w:rsidRPr="00DF47C0" w:rsidRDefault="00510841" w:rsidP="00510841">
                            <w:pPr>
                              <w:pStyle w:val="ListParagraph"/>
                              <w:numPr>
                                <w:ilvl w:val="0"/>
                                <w:numId w:val="4"/>
                              </w:numPr>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TADCT will pay for the directly incurred and identifiable costs of research. The costs of staff, such as research assistants and technicians, working full or part-time on a project, and the cost of identified items needed for the carrying out of research such as laboratory or clinical consumables, field work costs, capital and equipment costs are covered by and classified as directly incurred costs.</w:t>
                            </w:r>
                            <w:r>
                              <w:rPr>
                                <w:rFonts w:ascii="Gilroy Light" w:eastAsiaTheme="minorHAnsi" w:hAnsi="Gilroy Light" w:cs="Calibri"/>
                                <w:color w:val="000000"/>
                                <w:lang w:val="en-GB" w:eastAsia="en-GB"/>
                              </w:rPr>
                              <w:br/>
                            </w:r>
                            <w:r>
                              <w:rPr>
                                <w:rFonts w:ascii="Gilroy Light" w:eastAsiaTheme="minorHAnsi" w:hAnsi="Gilroy Light" w:cs="Calibri"/>
                                <w:color w:val="000000"/>
                                <w:lang w:val="en-GB" w:eastAsia="en-GB"/>
                              </w:rPr>
                              <w:br/>
                            </w:r>
                            <w:r w:rsidRPr="00DF47C0">
                              <w:rPr>
                                <w:rFonts w:ascii="Gilroy Light" w:eastAsiaTheme="minorHAnsi" w:hAnsi="Gilroy Light" w:cs="Calibri"/>
                                <w:color w:val="000000"/>
                                <w:lang w:val="en-GB" w:eastAsia="en-GB"/>
                              </w:rPr>
                              <w:t xml:space="preserve">TADCT will not pay indirect costs, </w:t>
                            </w:r>
                            <w:proofErr w:type="spellStart"/>
                            <w:r w:rsidRPr="00DF47C0">
                              <w:rPr>
                                <w:rFonts w:ascii="Gilroy Light" w:eastAsiaTheme="minorHAnsi" w:hAnsi="Gilroy Light" w:cs="Calibri"/>
                                <w:color w:val="000000"/>
                                <w:lang w:val="en-GB" w:eastAsia="en-GB"/>
                              </w:rPr>
                              <w:t>eg</w:t>
                            </w:r>
                            <w:proofErr w:type="spellEnd"/>
                            <w:r w:rsidRPr="00DF47C0">
                              <w:rPr>
                                <w:rFonts w:ascii="Gilroy Light" w:eastAsiaTheme="minorHAnsi" w:hAnsi="Gilroy Light" w:cs="Calibri"/>
                                <w:color w:val="000000"/>
                                <w:lang w:val="en-GB" w:eastAsia="en-GB"/>
                              </w:rPr>
                              <w:t>: advertising for posts, secretarial work, stationary or contribution to general departmental overheads.</w:t>
                            </w:r>
                            <w:r>
                              <w:rPr>
                                <w:rFonts w:ascii="Gilroy Light" w:eastAsiaTheme="minorHAnsi" w:hAnsi="Gilroy Light" w:cs="Calibri"/>
                                <w:color w:val="000000"/>
                                <w:lang w:val="en-GB" w:eastAsia="en-GB"/>
                              </w:rPr>
                              <w:br/>
                            </w:r>
                            <w:r>
                              <w:rPr>
                                <w:rFonts w:ascii="Gilroy Light" w:eastAsiaTheme="minorHAnsi" w:hAnsi="Gilroy Light" w:cs="Calibri"/>
                                <w:color w:val="000000"/>
                                <w:lang w:val="en-GB" w:eastAsia="en-GB"/>
                              </w:rPr>
                              <w:br/>
                            </w:r>
                            <w:r w:rsidRPr="00DF47C0">
                              <w:rPr>
                                <w:rFonts w:ascii="Gilroy Light" w:eastAsiaTheme="minorHAnsi" w:hAnsi="Gilroy Light" w:cs="Calibri"/>
                                <w:color w:val="000000"/>
                                <w:lang w:val="en-GB" w:eastAsia="en-GB"/>
                              </w:rPr>
                              <w:t>Please ensure that costs are calculated accurately and itemized. Supplementary grants are not available.</w:t>
                            </w:r>
                            <w:r>
                              <w:rPr>
                                <w:rFonts w:ascii="Gilroy Light" w:eastAsiaTheme="minorHAnsi" w:hAnsi="Gilroy Light" w:cs="Calibri"/>
                                <w:color w:val="000000"/>
                                <w:lang w:val="en-GB" w:eastAsia="en-GB"/>
                              </w:rPr>
                              <w:br/>
                            </w:r>
                            <w:r>
                              <w:rPr>
                                <w:rFonts w:ascii="Gilroy Light" w:eastAsiaTheme="minorHAnsi" w:hAnsi="Gilroy Light" w:cs="Calibri"/>
                                <w:color w:val="000000"/>
                                <w:lang w:val="en-GB" w:eastAsia="en-GB"/>
                              </w:rPr>
                              <w:br/>
                            </w:r>
                            <w:r w:rsidRPr="00DF47C0">
                              <w:rPr>
                                <w:rFonts w:ascii="Gilroy Light" w:eastAsiaTheme="minorHAnsi" w:hAnsi="Gilroy Light" w:cs="Calibri"/>
                                <w:color w:val="000000"/>
                                <w:lang w:val="en-GB" w:eastAsia="en-GB"/>
                              </w:rPr>
                              <w:t>All expenditure under this grant should be governed by the normal standard and procedures of the host institution.</w:t>
                            </w:r>
                          </w:p>
                          <w:p w14:paraId="1B6B8DD9" w14:textId="77777777" w:rsidR="00510841" w:rsidRPr="00DF47C0" w:rsidRDefault="00510841" w:rsidP="00510841">
                            <w:pPr>
                              <w:pStyle w:val="ListParagraph"/>
                              <w:rPr>
                                <w:rFonts w:ascii="Gilroy Light" w:eastAsiaTheme="minorHAnsi" w:hAnsi="Gilroy Light" w:cs="Calibri"/>
                                <w:color w:val="000000"/>
                                <w:lang w:val="en-GB" w:eastAsia="en-GB"/>
                              </w:rPr>
                            </w:pPr>
                          </w:p>
                          <w:p w14:paraId="082D72F6" w14:textId="77777777" w:rsidR="00510841" w:rsidRPr="00DF47C0" w:rsidRDefault="00510841" w:rsidP="00510841">
                            <w:pPr>
                              <w:pStyle w:val="ListParagraph"/>
                              <w:numPr>
                                <w:ilvl w:val="0"/>
                                <w:numId w:val="4"/>
                              </w:numPr>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NHS and/or University agreement for infrastructure support.  Confirmation that the employing authority agrees to undertake the financial management and supervision of the research.  Confirmation of which Institution will be administering the grant.</w:t>
                            </w:r>
                          </w:p>
                          <w:p w14:paraId="529FF286" w14:textId="77777777" w:rsidR="00510841" w:rsidRPr="00DF47C0" w:rsidRDefault="00510841" w:rsidP="00510841">
                            <w:pPr>
                              <w:pStyle w:val="ListParagraph"/>
                              <w:rPr>
                                <w:rFonts w:ascii="Gilroy Light" w:eastAsiaTheme="minorHAnsi" w:hAnsi="Gilroy Light" w:cs="Calibri"/>
                                <w:color w:val="000000"/>
                                <w:lang w:val="en-GB" w:eastAsia="en-GB"/>
                              </w:rPr>
                            </w:pPr>
                          </w:p>
                          <w:p w14:paraId="5D27F07F" w14:textId="77777777" w:rsidR="00510841" w:rsidRPr="00DF47C0" w:rsidRDefault="00510841" w:rsidP="00510841">
                            <w:pPr>
                              <w:pStyle w:val="ListParagraph"/>
                              <w:rPr>
                                <w:rFonts w:ascii="Gilroy Light" w:eastAsiaTheme="minorHAnsi" w:hAnsi="Gilroy Light" w:cs="Calibri"/>
                                <w:color w:val="000000"/>
                                <w:lang w:val="en-GB" w:eastAsia="en-GB"/>
                              </w:rPr>
                            </w:pPr>
                          </w:p>
                          <w:p w14:paraId="60420E9A" w14:textId="77777777" w:rsidR="00510841" w:rsidRPr="00DF47C0" w:rsidRDefault="00510841" w:rsidP="00510841">
                            <w:pPr>
                              <w:pStyle w:val="ListParagraph"/>
                              <w:rPr>
                                <w:rFonts w:ascii="Gilroy Light" w:eastAsiaTheme="minorHAnsi" w:hAnsi="Gilroy Light" w:cs="Calibri"/>
                                <w:color w:val="000000"/>
                                <w:lang w:val="en-GB" w:eastAsia="en-GB"/>
                              </w:rPr>
                            </w:pPr>
                          </w:p>
                          <w:p w14:paraId="61371B4F" w14:textId="77777777" w:rsidR="00510841" w:rsidRPr="00DF47C0" w:rsidRDefault="00510841" w:rsidP="00510841">
                            <w:pPr>
                              <w:pStyle w:val="ListParagraph"/>
                              <w:rPr>
                                <w:rFonts w:ascii="Gilroy Light" w:eastAsiaTheme="minorHAnsi" w:hAnsi="Gilroy Light" w:cs="Calibri"/>
                                <w:color w:val="000000"/>
                                <w:lang w:val="en-GB" w:eastAsia="en-GB"/>
                              </w:rPr>
                            </w:pPr>
                          </w:p>
                          <w:p w14:paraId="1A1F9F16" w14:textId="77777777" w:rsidR="00510841" w:rsidRPr="00CB4546" w:rsidRDefault="00510841" w:rsidP="00510841">
                            <w:pPr>
                              <w:pStyle w:val="ListParagraph"/>
                              <w:rPr>
                                <w:rFonts w:ascii="Gilroy Light" w:hAnsi="Gilroy Light"/>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E22B6" id="_x0000_t202" coordsize="21600,21600" o:spt="202" path="m,l,21600r21600,l21600,xe">
                <v:stroke joinstyle="miter"/>
                <v:path gradientshapeok="t" o:connecttype="rect"/>
              </v:shapetype>
              <v:shape id="Text Box 2" o:spid="_x0000_s1026" type="#_x0000_t202" style="position:absolute;margin-left:35.25pt;margin-top:5.35pt;width:546.75pt;height:68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" stroked="f">
                <v:textbox>
                  <w:txbxContent>
                    <w:p w14:paraId="1BE3799D" w14:textId="77777777" w:rsidR="00510841" w:rsidRPr="00DF47C0" w:rsidRDefault="00510841" w:rsidP="00510841">
                      <w:pPr>
                        <w:pStyle w:val="ListParagraph"/>
                        <w:rPr>
                          <w:rFonts w:ascii="Gilroy ExtraBold" w:eastAsiaTheme="minorHAnsi" w:hAnsi="Gilroy ExtraBold" w:cs="Calibri"/>
                          <w:b/>
                          <w:bCs/>
                          <w:color w:val="000000"/>
                          <w:sz w:val="28"/>
                          <w:szCs w:val="28"/>
                          <w:lang w:val="en-GB" w:eastAsia="en-GB"/>
                        </w:rPr>
                      </w:pPr>
                      <w:r w:rsidRPr="00DF47C0">
                        <w:rPr>
                          <w:rFonts w:ascii="Gilroy ExtraBold" w:eastAsiaTheme="minorHAnsi" w:hAnsi="Gilroy ExtraBold" w:cs="Calibri"/>
                          <w:b/>
                          <w:bCs/>
                          <w:color w:val="000000"/>
                          <w:sz w:val="28"/>
                          <w:szCs w:val="28"/>
                          <w:lang w:val="en-GB" w:eastAsia="en-GB"/>
                        </w:rPr>
                        <w:t xml:space="preserve">THE AORTIC DISSECTION CHARITABLE TRUST </w:t>
                      </w:r>
                    </w:p>
                    <w:p w14:paraId="00BD4CF6" w14:textId="77777777" w:rsidR="00510841" w:rsidRDefault="00510841" w:rsidP="00510841">
                      <w:pPr>
                        <w:pStyle w:val="ListParagraph"/>
                        <w:rPr>
                          <w:rFonts w:ascii="Gilroy ExtraBold" w:eastAsiaTheme="minorHAnsi" w:hAnsi="Gilroy ExtraBold" w:cs="Calibri"/>
                          <w:b/>
                          <w:bCs/>
                          <w:color w:val="000000"/>
                          <w:sz w:val="28"/>
                          <w:szCs w:val="28"/>
                          <w:lang w:val="en-GB" w:eastAsia="en-GB"/>
                        </w:rPr>
                      </w:pPr>
                      <w:r w:rsidRPr="00DF47C0">
                        <w:rPr>
                          <w:rFonts w:ascii="Gilroy ExtraBold" w:eastAsiaTheme="minorHAnsi" w:hAnsi="Gilroy ExtraBold" w:cs="Calibri"/>
                          <w:b/>
                          <w:bCs/>
                          <w:color w:val="000000"/>
                          <w:sz w:val="28"/>
                          <w:szCs w:val="28"/>
                          <w:lang w:val="en-GB" w:eastAsia="en-GB"/>
                        </w:rPr>
                        <w:t>RESEARCH GRANT TERMS AND CONDITIONS</w:t>
                      </w:r>
                    </w:p>
                    <w:p w14:paraId="793E336F" w14:textId="77777777" w:rsidR="00510841" w:rsidRPr="00CB4546" w:rsidRDefault="00510841" w:rsidP="00510841">
                      <w:pPr>
                        <w:pStyle w:val="ListParagraph"/>
                        <w:rPr>
                          <w:rFonts w:ascii="Gilroy Light" w:eastAsiaTheme="minorHAnsi" w:hAnsi="Gilroy Light" w:cs="Calibri"/>
                          <w:color w:val="000000"/>
                          <w:lang w:val="en-GB" w:eastAsia="en-GB"/>
                        </w:rPr>
                      </w:pPr>
                    </w:p>
                    <w:p w14:paraId="624820C2" w14:textId="77777777" w:rsidR="00510841" w:rsidRPr="00DF47C0" w:rsidRDefault="00510841" w:rsidP="00510841">
                      <w:pPr>
                        <w:pStyle w:val="ListParagraph"/>
                        <w:rPr>
                          <w:rFonts w:ascii="Gilroy Light" w:eastAsiaTheme="minorHAnsi" w:hAnsi="Gilroy Light" w:cs="Calibri"/>
                          <w:b/>
                          <w:bCs/>
                          <w:color w:val="000000"/>
                          <w:lang w:val="en-GB" w:eastAsia="en-GB"/>
                        </w:rPr>
                      </w:pPr>
                      <w:r w:rsidRPr="00DF47C0">
                        <w:rPr>
                          <w:rFonts w:ascii="Gilroy Light" w:eastAsiaTheme="minorHAnsi" w:hAnsi="Gilroy Light" w:cs="Calibri"/>
                          <w:b/>
                          <w:bCs/>
                          <w:color w:val="000000"/>
                          <w:lang w:val="en-GB" w:eastAsia="en-GB"/>
                        </w:rPr>
                        <w:t>These terms and conditions apply to all awards given by The Aortic Dissection Charitable Trust (TADCT), whose registered office is PO Box 812, Hope Valley, S40 9QYand will apply to and be deemed to form part of any agreement under which The Aortic Dissection Charitable Trust provides funding to any third party for the carrying out of any research or other work.</w:t>
                      </w:r>
                    </w:p>
                    <w:p w14:paraId="041DAC64" w14:textId="77777777" w:rsidR="00510841" w:rsidRPr="00DF47C0" w:rsidRDefault="00510841" w:rsidP="00510841">
                      <w:pPr>
                        <w:pStyle w:val="ListParagraph"/>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 xml:space="preserve"> </w:t>
                      </w:r>
                    </w:p>
                    <w:p w14:paraId="016B19C0" w14:textId="77777777" w:rsidR="00510841" w:rsidRPr="00DF47C0" w:rsidRDefault="00510841" w:rsidP="00510841">
                      <w:pPr>
                        <w:pStyle w:val="ListParagraph"/>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All research grant awards will be subject to the following:</w:t>
                      </w:r>
                    </w:p>
                    <w:p w14:paraId="04C78EAE" w14:textId="77777777" w:rsidR="00510841" w:rsidRPr="00DF47C0" w:rsidRDefault="00510841" w:rsidP="00510841">
                      <w:pPr>
                        <w:pStyle w:val="ListParagraph"/>
                        <w:rPr>
                          <w:rFonts w:ascii="Gilroy Light" w:eastAsiaTheme="minorHAnsi" w:hAnsi="Gilroy Light" w:cs="Calibri"/>
                          <w:color w:val="000000"/>
                          <w:lang w:val="en-GB" w:eastAsia="en-GB"/>
                        </w:rPr>
                      </w:pPr>
                    </w:p>
                    <w:p w14:paraId="76B957F7" w14:textId="77777777" w:rsidR="00510841" w:rsidRPr="00DF47C0" w:rsidRDefault="00510841" w:rsidP="00510841">
                      <w:pPr>
                        <w:pStyle w:val="ListParagraph"/>
                        <w:numPr>
                          <w:ilvl w:val="0"/>
                          <w:numId w:val="4"/>
                        </w:numPr>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 xml:space="preserve">Acknowledgement of TADCT support must be made in all publications and papers or posters resulting from work concerned using the full name of the charity namely The Aortic Dissection Charitable Trust. We expect all research to be published in a peer-reviewed publication. A full list of publications arising from the grant with copies of all publications should be created and made available to the charity.  </w:t>
                      </w:r>
                    </w:p>
                    <w:p w14:paraId="3F709141" w14:textId="77777777" w:rsidR="00510841" w:rsidRPr="00DF47C0" w:rsidRDefault="00510841" w:rsidP="00510841">
                      <w:pPr>
                        <w:pStyle w:val="ListParagraph"/>
                        <w:rPr>
                          <w:rFonts w:ascii="Gilroy Light" w:eastAsiaTheme="minorHAnsi" w:hAnsi="Gilroy Light" w:cs="Calibri"/>
                          <w:color w:val="000000"/>
                          <w:lang w:val="en-GB" w:eastAsia="en-GB"/>
                        </w:rPr>
                      </w:pPr>
                    </w:p>
                    <w:p w14:paraId="5C814234" w14:textId="77777777" w:rsidR="00510841" w:rsidRPr="00DF47C0" w:rsidRDefault="00510841" w:rsidP="00510841">
                      <w:pPr>
                        <w:pStyle w:val="ListParagraph"/>
                        <w:numPr>
                          <w:ilvl w:val="0"/>
                          <w:numId w:val="4"/>
                        </w:numPr>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Agreement to all appropriate publicity.  You will be expected to support the charity in any publicity surrounding the awards with the aim of furthering the work of the charity.</w:t>
                      </w:r>
                    </w:p>
                    <w:p w14:paraId="65D5ABB1" w14:textId="77777777" w:rsidR="00510841" w:rsidRPr="00DF47C0" w:rsidRDefault="00510841" w:rsidP="00510841">
                      <w:pPr>
                        <w:pStyle w:val="ListParagraph"/>
                        <w:rPr>
                          <w:rFonts w:ascii="Gilroy Light" w:eastAsiaTheme="minorHAnsi" w:hAnsi="Gilroy Light" w:cs="Calibri"/>
                          <w:color w:val="000000"/>
                          <w:lang w:val="en-GB" w:eastAsia="en-GB"/>
                        </w:rPr>
                      </w:pPr>
                    </w:p>
                    <w:p w14:paraId="10324CDA" w14:textId="77777777" w:rsidR="00454BAA" w:rsidRDefault="00510841" w:rsidP="00510841">
                      <w:pPr>
                        <w:pStyle w:val="ListParagraph"/>
                        <w:numPr>
                          <w:ilvl w:val="0"/>
                          <w:numId w:val="4"/>
                        </w:numPr>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Preparation of a progress report, and agreement to any visit by the Board of Trustees or other nominated representative.  6 monthly reports should be sent to TADCT, and a full detailed report should be submitted at the end of the project.</w:t>
                      </w:r>
                    </w:p>
                    <w:p w14:paraId="74BAF26D" w14:textId="77777777" w:rsidR="00454BAA" w:rsidRPr="00454BAA" w:rsidRDefault="00454BAA" w:rsidP="00454BAA">
                      <w:pPr>
                        <w:pStyle w:val="ListParagraph"/>
                        <w:rPr>
                          <w:rFonts w:ascii="Gilroy Light" w:eastAsiaTheme="minorHAnsi" w:hAnsi="Gilroy Light" w:cs="Calibri"/>
                          <w:color w:val="000000"/>
                          <w:lang w:val="en-GB" w:eastAsia="en-GB"/>
                        </w:rPr>
                      </w:pPr>
                    </w:p>
                    <w:p w14:paraId="62D3D5BB" w14:textId="6F5EF1E5" w:rsidR="00454BAA" w:rsidRPr="00454BAA" w:rsidRDefault="00454BAA" w:rsidP="00454BAA">
                      <w:pPr>
                        <w:pStyle w:val="ListParagraph"/>
                        <w:numPr>
                          <w:ilvl w:val="0"/>
                          <w:numId w:val="4"/>
                        </w:numPr>
                        <w:rPr>
                          <w:rFonts w:ascii="Gilroy Light" w:eastAsiaTheme="minorHAnsi" w:hAnsi="Gilroy Light" w:cs="Calibri"/>
                          <w:color w:val="000000"/>
                          <w:lang w:val="en-GB" w:eastAsia="en-GB"/>
                        </w:rPr>
                      </w:pPr>
                      <w:r>
                        <w:rPr>
                          <w:rFonts w:ascii="Gilroy Light" w:eastAsiaTheme="minorHAnsi" w:hAnsi="Gilroy Light" w:cs="Calibri"/>
                          <w:color w:val="000000"/>
                          <w:lang w:val="en-GB" w:eastAsia="en-GB"/>
                        </w:rPr>
                        <w:t>A</w:t>
                      </w:r>
                      <w:r w:rsidRPr="00454BAA">
                        <w:rPr>
                          <w:rFonts w:ascii="Gilroy Light" w:eastAsiaTheme="minorHAnsi" w:hAnsi="Gilroy Light" w:cs="Calibri"/>
                          <w:color w:val="000000"/>
                          <w:lang w:val="en-GB" w:eastAsia="en-GB"/>
                        </w:rPr>
                        <w:t xml:space="preserve">ll relevant ethical and institutional approvals will be in place before grant funds are </w:t>
                      </w:r>
                      <w:r w:rsidRPr="00454BAA">
                        <w:rPr>
                          <w:rFonts w:ascii="Gilroy Light" w:eastAsiaTheme="minorHAnsi" w:hAnsi="Gilroy Light" w:cs="Calibri"/>
                          <w:color w:val="000000"/>
                          <w:lang w:val="en-GB" w:eastAsia="en-GB"/>
                        </w:rPr>
                        <w:t>awarded.</w:t>
                      </w:r>
                    </w:p>
                    <w:p w14:paraId="20511D0A" w14:textId="77777777" w:rsidR="00454BAA" w:rsidRPr="00454BAA" w:rsidRDefault="00454BAA" w:rsidP="00454BAA">
                      <w:pPr>
                        <w:pStyle w:val="ListParagraph"/>
                        <w:ind w:left="720"/>
                        <w:rPr>
                          <w:rFonts w:ascii="Gilroy Light" w:eastAsiaTheme="minorHAnsi" w:hAnsi="Gilroy Light" w:cs="Calibri"/>
                          <w:color w:val="000000"/>
                          <w:lang w:val="en-GB" w:eastAsia="en-GB"/>
                        </w:rPr>
                      </w:pPr>
                    </w:p>
                    <w:p w14:paraId="4FE672F0" w14:textId="7361AFA0" w:rsidR="00510841" w:rsidRPr="00DF47C0" w:rsidRDefault="00510841" w:rsidP="00510841">
                      <w:pPr>
                        <w:pStyle w:val="ListParagraph"/>
                        <w:numPr>
                          <w:ilvl w:val="0"/>
                          <w:numId w:val="4"/>
                        </w:numPr>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 xml:space="preserve">The award will only made once appropriate ethics committee approval has been granted. The award may be paid in full or, depending upon the nature of the award, pay in 6 monthly </w:t>
                      </w:r>
                      <w:r w:rsidR="00102AC3" w:rsidRPr="00DF47C0">
                        <w:rPr>
                          <w:rFonts w:ascii="Gilroy Light" w:eastAsiaTheme="minorHAnsi" w:hAnsi="Gilroy Light" w:cs="Calibri"/>
                          <w:color w:val="000000"/>
                          <w:lang w:val="en-GB" w:eastAsia="en-GB"/>
                        </w:rPr>
                        <w:t>instalments</w:t>
                      </w:r>
                      <w:r w:rsidRPr="00DF47C0">
                        <w:rPr>
                          <w:rFonts w:ascii="Gilroy Light" w:eastAsiaTheme="minorHAnsi" w:hAnsi="Gilroy Light" w:cs="Calibri"/>
                          <w:color w:val="000000"/>
                          <w:lang w:val="en-GB" w:eastAsia="en-GB"/>
                        </w:rPr>
                        <w:t xml:space="preserve"> upon receipt of satisfactory reports.</w:t>
                      </w:r>
                    </w:p>
                    <w:p w14:paraId="706214F1" w14:textId="77777777" w:rsidR="00510841" w:rsidRPr="00DF47C0" w:rsidRDefault="00510841" w:rsidP="00510841">
                      <w:pPr>
                        <w:pStyle w:val="ListParagraph"/>
                        <w:rPr>
                          <w:rFonts w:ascii="Gilroy Light" w:eastAsiaTheme="minorHAnsi" w:hAnsi="Gilroy Light" w:cs="Calibri"/>
                          <w:color w:val="000000"/>
                          <w:lang w:val="en-GB" w:eastAsia="en-GB"/>
                        </w:rPr>
                      </w:pPr>
                    </w:p>
                    <w:p w14:paraId="7DCA5C6E" w14:textId="77777777" w:rsidR="00510841" w:rsidRPr="00DF47C0" w:rsidRDefault="00510841" w:rsidP="00510841">
                      <w:pPr>
                        <w:pStyle w:val="ListParagraph"/>
                        <w:numPr>
                          <w:ilvl w:val="0"/>
                          <w:numId w:val="4"/>
                        </w:numPr>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The charity will not support any applications involving animal experimentation.</w:t>
                      </w:r>
                    </w:p>
                    <w:p w14:paraId="5748E3F7" w14:textId="77777777" w:rsidR="00510841" w:rsidRPr="00DF47C0" w:rsidRDefault="00510841" w:rsidP="00510841">
                      <w:pPr>
                        <w:pStyle w:val="ListParagraph"/>
                        <w:rPr>
                          <w:rFonts w:ascii="Gilroy Light" w:eastAsiaTheme="minorHAnsi" w:hAnsi="Gilroy Light" w:cs="Calibri"/>
                          <w:color w:val="000000"/>
                          <w:lang w:val="en-GB" w:eastAsia="en-GB"/>
                        </w:rPr>
                      </w:pPr>
                    </w:p>
                    <w:p w14:paraId="225E6C40" w14:textId="77777777" w:rsidR="00510841" w:rsidRPr="00DF47C0" w:rsidRDefault="00510841" w:rsidP="00510841">
                      <w:pPr>
                        <w:pStyle w:val="ListParagraph"/>
                        <w:numPr>
                          <w:ilvl w:val="0"/>
                          <w:numId w:val="4"/>
                        </w:numPr>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TADCT will pay for the directly incurred and identifiable costs of research. The costs of staff, such as research assistants and technicians, working full or part-time on a project, and the cost of identified items needed for the carrying out of research such as laboratory or clinical consumables, field work costs, capital and equipment costs are covered by and classified as directly incurred costs.</w:t>
                      </w:r>
                      <w:r>
                        <w:rPr>
                          <w:rFonts w:ascii="Gilroy Light" w:eastAsiaTheme="minorHAnsi" w:hAnsi="Gilroy Light" w:cs="Calibri"/>
                          <w:color w:val="000000"/>
                          <w:lang w:val="en-GB" w:eastAsia="en-GB"/>
                        </w:rPr>
                        <w:br/>
                      </w:r>
                      <w:r>
                        <w:rPr>
                          <w:rFonts w:ascii="Gilroy Light" w:eastAsiaTheme="minorHAnsi" w:hAnsi="Gilroy Light" w:cs="Calibri"/>
                          <w:color w:val="000000"/>
                          <w:lang w:val="en-GB" w:eastAsia="en-GB"/>
                        </w:rPr>
                        <w:br/>
                      </w:r>
                      <w:r w:rsidRPr="00DF47C0">
                        <w:rPr>
                          <w:rFonts w:ascii="Gilroy Light" w:eastAsiaTheme="minorHAnsi" w:hAnsi="Gilroy Light" w:cs="Calibri"/>
                          <w:color w:val="000000"/>
                          <w:lang w:val="en-GB" w:eastAsia="en-GB"/>
                        </w:rPr>
                        <w:t xml:space="preserve">TADCT will not pay indirect costs, </w:t>
                      </w:r>
                      <w:proofErr w:type="spellStart"/>
                      <w:r w:rsidRPr="00DF47C0">
                        <w:rPr>
                          <w:rFonts w:ascii="Gilroy Light" w:eastAsiaTheme="minorHAnsi" w:hAnsi="Gilroy Light" w:cs="Calibri"/>
                          <w:color w:val="000000"/>
                          <w:lang w:val="en-GB" w:eastAsia="en-GB"/>
                        </w:rPr>
                        <w:t>eg</w:t>
                      </w:r>
                      <w:proofErr w:type="spellEnd"/>
                      <w:r w:rsidRPr="00DF47C0">
                        <w:rPr>
                          <w:rFonts w:ascii="Gilroy Light" w:eastAsiaTheme="minorHAnsi" w:hAnsi="Gilroy Light" w:cs="Calibri"/>
                          <w:color w:val="000000"/>
                          <w:lang w:val="en-GB" w:eastAsia="en-GB"/>
                        </w:rPr>
                        <w:t>: advertising for posts, secretarial work, stationary or contribution to general departmental overheads.</w:t>
                      </w:r>
                      <w:r>
                        <w:rPr>
                          <w:rFonts w:ascii="Gilroy Light" w:eastAsiaTheme="minorHAnsi" w:hAnsi="Gilroy Light" w:cs="Calibri"/>
                          <w:color w:val="000000"/>
                          <w:lang w:val="en-GB" w:eastAsia="en-GB"/>
                        </w:rPr>
                        <w:br/>
                      </w:r>
                      <w:r>
                        <w:rPr>
                          <w:rFonts w:ascii="Gilroy Light" w:eastAsiaTheme="minorHAnsi" w:hAnsi="Gilroy Light" w:cs="Calibri"/>
                          <w:color w:val="000000"/>
                          <w:lang w:val="en-GB" w:eastAsia="en-GB"/>
                        </w:rPr>
                        <w:br/>
                      </w:r>
                      <w:r w:rsidRPr="00DF47C0">
                        <w:rPr>
                          <w:rFonts w:ascii="Gilroy Light" w:eastAsiaTheme="minorHAnsi" w:hAnsi="Gilroy Light" w:cs="Calibri"/>
                          <w:color w:val="000000"/>
                          <w:lang w:val="en-GB" w:eastAsia="en-GB"/>
                        </w:rPr>
                        <w:t>Please ensure that costs are calculated accurately and itemized. Supplementary grants are not available.</w:t>
                      </w:r>
                      <w:r>
                        <w:rPr>
                          <w:rFonts w:ascii="Gilroy Light" w:eastAsiaTheme="minorHAnsi" w:hAnsi="Gilroy Light" w:cs="Calibri"/>
                          <w:color w:val="000000"/>
                          <w:lang w:val="en-GB" w:eastAsia="en-GB"/>
                        </w:rPr>
                        <w:br/>
                      </w:r>
                      <w:r>
                        <w:rPr>
                          <w:rFonts w:ascii="Gilroy Light" w:eastAsiaTheme="minorHAnsi" w:hAnsi="Gilroy Light" w:cs="Calibri"/>
                          <w:color w:val="000000"/>
                          <w:lang w:val="en-GB" w:eastAsia="en-GB"/>
                        </w:rPr>
                        <w:br/>
                      </w:r>
                      <w:r w:rsidRPr="00DF47C0">
                        <w:rPr>
                          <w:rFonts w:ascii="Gilroy Light" w:eastAsiaTheme="minorHAnsi" w:hAnsi="Gilroy Light" w:cs="Calibri"/>
                          <w:color w:val="000000"/>
                          <w:lang w:val="en-GB" w:eastAsia="en-GB"/>
                        </w:rPr>
                        <w:t>All expenditure under this grant should be governed by the normal standard and procedures of the host institution.</w:t>
                      </w:r>
                    </w:p>
                    <w:p w14:paraId="1B6B8DD9" w14:textId="77777777" w:rsidR="00510841" w:rsidRPr="00DF47C0" w:rsidRDefault="00510841" w:rsidP="00510841">
                      <w:pPr>
                        <w:pStyle w:val="ListParagraph"/>
                        <w:rPr>
                          <w:rFonts w:ascii="Gilroy Light" w:eastAsiaTheme="minorHAnsi" w:hAnsi="Gilroy Light" w:cs="Calibri"/>
                          <w:color w:val="000000"/>
                          <w:lang w:val="en-GB" w:eastAsia="en-GB"/>
                        </w:rPr>
                      </w:pPr>
                    </w:p>
                    <w:p w14:paraId="082D72F6" w14:textId="77777777" w:rsidR="00510841" w:rsidRPr="00DF47C0" w:rsidRDefault="00510841" w:rsidP="00510841">
                      <w:pPr>
                        <w:pStyle w:val="ListParagraph"/>
                        <w:numPr>
                          <w:ilvl w:val="0"/>
                          <w:numId w:val="4"/>
                        </w:numPr>
                        <w:rPr>
                          <w:rFonts w:ascii="Gilroy Light" w:eastAsiaTheme="minorHAnsi" w:hAnsi="Gilroy Light" w:cs="Calibri"/>
                          <w:color w:val="000000"/>
                          <w:lang w:val="en-GB" w:eastAsia="en-GB"/>
                        </w:rPr>
                      </w:pPr>
                      <w:r w:rsidRPr="00DF47C0">
                        <w:rPr>
                          <w:rFonts w:ascii="Gilroy Light" w:eastAsiaTheme="minorHAnsi" w:hAnsi="Gilroy Light" w:cs="Calibri"/>
                          <w:color w:val="000000"/>
                          <w:lang w:val="en-GB" w:eastAsia="en-GB"/>
                        </w:rPr>
                        <w:t>NHS and/or University agreement for infrastructure support.  Confirmation that the employing authority agrees to undertake the financial management and supervision of the research.  Confirmation of which Institution will be administering the grant.</w:t>
                      </w:r>
                    </w:p>
                    <w:p w14:paraId="529FF286" w14:textId="77777777" w:rsidR="00510841" w:rsidRPr="00DF47C0" w:rsidRDefault="00510841" w:rsidP="00510841">
                      <w:pPr>
                        <w:pStyle w:val="ListParagraph"/>
                        <w:rPr>
                          <w:rFonts w:ascii="Gilroy Light" w:eastAsiaTheme="minorHAnsi" w:hAnsi="Gilroy Light" w:cs="Calibri"/>
                          <w:color w:val="000000"/>
                          <w:lang w:val="en-GB" w:eastAsia="en-GB"/>
                        </w:rPr>
                      </w:pPr>
                    </w:p>
                    <w:p w14:paraId="5D27F07F" w14:textId="77777777" w:rsidR="00510841" w:rsidRPr="00DF47C0" w:rsidRDefault="00510841" w:rsidP="00510841">
                      <w:pPr>
                        <w:pStyle w:val="ListParagraph"/>
                        <w:rPr>
                          <w:rFonts w:ascii="Gilroy Light" w:eastAsiaTheme="minorHAnsi" w:hAnsi="Gilroy Light" w:cs="Calibri"/>
                          <w:color w:val="000000"/>
                          <w:lang w:val="en-GB" w:eastAsia="en-GB"/>
                        </w:rPr>
                      </w:pPr>
                    </w:p>
                    <w:p w14:paraId="60420E9A" w14:textId="77777777" w:rsidR="00510841" w:rsidRPr="00DF47C0" w:rsidRDefault="00510841" w:rsidP="00510841">
                      <w:pPr>
                        <w:pStyle w:val="ListParagraph"/>
                        <w:rPr>
                          <w:rFonts w:ascii="Gilroy Light" w:eastAsiaTheme="minorHAnsi" w:hAnsi="Gilroy Light" w:cs="Calibri"/>
                          <w:color w:val="000000"/>
                          <w:lang w:val="en-GB" w:eastAsia="en-GB"/>
                        </w:rPr>
                      </w:pPr>
                    </w:p>
                    <w:p w14:paraId="61371B4F" w14:textId="77777777" w:rsidR="00510841" w:rsidRPr="00DF47C0" w:rsidRDefault="00510841" w:rsidP="00510841">
                      <w:pPr>
                        <w:pStyle w:val="ListParagraph"/>
                        <w:rPr>
                          <w:rFonts w:ascii="Gilroy Light" w:eastAsiaTheme="minorHAnsi" w:hAnsi="Gilroy Light" w:cs="Calibri"/>
                          <w:color w:val="000000"/>
                          <w:lang w:val="en-GB" w:eastAsia="en-GB"/>
                        </w:rPr>
                      </w:pPr>
                    </w:p>
                    <w:p w14:paraId="1A1F9F16" w14:textId="77777777" w:rsidR="00510841" w:rsidRPr="00CB4546" w:rsidRDefault="00510841" w:rsidP="00510841">
                      <w:pPr>
                        <w:pStyle w:val="ListParagraph"/>
                        <w:rPr>
                          <w:rFonts w:ascii="Gilroy Light" w:hAnsi="Gilroy Light"/>
                          <w:color w:val="000000"/>
                        </w:rPr>
                      </w:pPr>
                    </w:p>
                  </w:txbxContent>
                </v:textbox>
                <w10:wrap type="square"/>
              </v:shape>
            </w:pict>
          </mc:Fallback>
        </mc:AlternateContent>
      </w:r>
    </w:p>
    <w:p w14:paraId="399D7780" w14:textId="68FE4343" w:rsidR="00510841" w:rsidRDefault="00510841" w:rsidP="00510841"/>
    <w:p w14:paraId="7D675267" w14:textId="7FD13D4A" w:rsidR="00510841" w:rsidRDefault="00510841" w:rsidP="00510841"/>
    <w:p w14:paraId="19293419" w14:textId="5CC0726E" w:rsidR="00510841" w:rsidRDefault="00510841" w:rsidP="00510841"/>
    <w:p w14:paraId="5DF2CD83" w14:textId="46C2F57A" w:rsidR="00510841" w:rsidRDefault="00510841" w:rsidP="00510841"/>
    <w:p w14:paraId="40502FD3" w14:textId="5F4777B5" w:rsidR="00510841" w:rsidRDefault="00510841" w:rsidP="00510841"/>
    <w:p w14:paraId="53C85496" w14:textId="4761E5AB" w:rsidR="00510841" w:rsidRDefault="00510841" w:rsidP="00510841"/>
    <w:p w14:paraId="11B4AF89" w14:textId="3A78D843" w:rsidR="00510841" w:rsidRDefault="00510841" w:rsidP="00510841"/>
    <w:p w14:paraId="4137A15A" w14:textId="0E35DEC7" w:rsidR="00510841" w:rsidRDefault="00510841" w:rsidP="00510841"/>
    <w:p w14:paraId="43B02D0B" w14:textId="58BCD40A" w:rsidR="00510841" w:rsidRDefault="00510841" w:rsidP="00510841"/>
    <w:p w14:paraId="5F1F63B0" w14:textId="524051E5" w:rsidR="00510841" w:rsidRDefault="00510841" w:rsidP="00510841"/>
    <w:p w14:paraId="08929ACE" w14:textId="714A8226" w:rsidR="00510841" w:rsidRDefault="00510841" w:rsidP="00510841"/>
    <w:p w14:paraId="5151211C" w14:textId="7BE91F76" w:rsidR="00510841" w:rsidRDefault="00510841" w:rsidP="00510841"/>
    <w:p w14:paraId="5572859F" w14:textId="1BF8C921" w:rsidR="00510841" w:rsidRDefault="00510841" w:rsidP="00510841"/>
    <w:p w14:paraId="4A6AC726" w14:textId="16E8E04E" w:rsidR="00510841" w:rsidRDefault="00510841" w:rsidP="00510841"/>
    <w:p w14:paraId="6B84DDC9" w14:textId="633D5EA1" w:rsidR="00510841" w:rsidRDefault="00510841" w:rsidP="00510841"/>
    <w:p w14:paraId="44643502" w14:textId="1F0CF61B" w:rsidR="00510841" w:rsidRDefault="00510841" w:rsidP="00510841"/>
    <w:p w14:paraId="1AE61CA7" w14:textId="2D07CC82" w:rsidR="00510841" w:rsidRDefault="00510841" w:rsidP="00510841"/>
    <w:p w14:paraId="78FCB11E" w14:textId="1123B4F3" w:rsidR="00510841" w:rsidRDefault="00510841" w:rsidP="00510841"/>
    <w:p w14:paraId="21E19B3B" w14:textId="670CEED0" w:rsidR="00510841" w:rsidRDefault="00510841" w:rsidP="00510841"/>
    <w:p w14:paraId="76328D3B" w14:textId="0C611150" w:rsidR="00510841" w:rsidRDefault="00510841" w:rsidP="00510841"/>
    <w:p w14:paraId="02E1EDBA" w14:textId="3069ACDF" w:rsidR="00510841" w:rsidRDefault="00510841" w:rsidP="00510841"/>
    <w:p w14:paraId="6119B89C" w14:textId="32CC2219" w:rsidR="00510841" w:rsidRDefault="00510841" w:rsidP="00510841"/>
    <w:p w14:paraId="5C44E25C" w14:textId="59ACD5FC" w:rsidR="00510841" w:rsidRDefault="00510841" w:rsidP="00510841"/>
    <w:p w14:paraId="569A1A55" w14:textId="70F11D65" w:rsidR="00510841" w:rsidRDefault="00510841" w:rsidP="00510841"/>
    <w:p w14:paraId="6D01A8D2" w14:textId="73B66750" w:rsidR="00510841" w:rsidRDefault="00510841" w:rsidP="00510841"/>
    <w:p w14:paraId="37A65EF9" w14:textId="04965A7E" w:rsidR="00510841" w:rsidRDefault="00510841" w:rsidP="00510841"/>
    <w:p w14:paraId="171A33B2" w14:textId="633DF5AD" w:rsidR="00510841" w:rsidRDefault="00510841" w:rsidP="00510841"/>
    <w:p w14:paraId="5B06C8A9" w14:textId="2E4CDAEE" w:rsidR="00510841" w:rsidRDefault="00510841" w:rsidP="00510841"/>
    <w:p w14:paraId="5577A6A4" w14:textId="6A40B4AC" w:rsidR="00510841" w:rsidRDefault="00510841" w:rsidP="00510841"/>
    <w:p w14:paraId="4F60152F" w14:textId="341978BA" w:rsidR="00510841" w:rsidRDefault="00510841" w:rsidP="00510841"/>
    <w:p w14:paraId="50394A71" w14:textId="40E9A6D8" w:rsidR="00510841" w:rsidRDefault="00510841" w:rsidP="00510841"/>
    <w:p w14:paraId="5EB2857B" w14:textId="01B7B7CC" w:rsidR="00510841" w:rsidRDefault="00510841" w:rsidP="00510841"/>
    <w:p w14:paraId="0012C71C" w14:textId="6B6D20EA" w:rsidR="00510841" w:rsidRDefault="00510841" w:rsidP="00510841"/>
    <w:p w14:paraId="54949422" w14:textId="6303B13E" w:rsidR="00510841" w:rsidRDefault="00510841" w:rsidP="00510841"/>
    <w:p w14:paraId="1FB39003" w14:textId="46A87990" w:rsidR="00510841" w:rsidRDefault="00510841" w:rsidP="00510841"/>
    <w:p w14:paraId="484C652D" w14:textId="35D23D59" w:rsidR="00510841" w:rsidRDefault="00510841" w:rsidP="00510841"/>
    <w:p w14:paraId="5D885C8B" w14:textId="535318D6" w:rsidR="00510841" w:rsidRDefault="00510841" w:rsidP="00510841"/>
    <w:p w14:paraId="35ECA980" w14:textId="532F7295" w:rsidR="00510841" w:rsidRDefault="00510841" w:rsidP="00510841"/>
    <w:p w14:paraId="5E4BAB39" w14:textId="17F49588" w:rsidR="00510841" w:rsidRDefault="00510841" w:rsidP="00510841"/>
    <w:p w14:paraId="1D19447F" w14:textId="6D65778D" w:rsidR="00510841" w:rsidRDefault="00510841" w:rsidP="00510841"/>
    <w:p w14:paraId="68A85DFF" w14:textId="1E2AF08E" w:rsidR="00510841" w:rsidRDefault="00510841" w:rsidP="00510841"/>
    <w:p w14:paraId="705B4728" w14:textId="78C5C5FC" w:rsidR="00510841" w:rsidRDefault="00510841" w:rsidP="00510841"/>
    <w:p w14:paraId="56494982" w14:textId="5495EEE5" w:rsidR="00510841" w:rsidRDefault="00510841" w:rsidP="00510841"/>
    <w:p w14:paraId="16FAABE6" w14:textId="29A14ED4" w:rsidR="00510841" w:rsidRDefault="00510841" w:rsidP="00510841"/>
    <w:p w14:paraId="2C59DE4E" w14:textId="0EB20E29" w:rsidR="00510841" w:rsidRDefault="00510841" w:rsidP="00510841"/>
    <w:p w14:paraId="5FD5FABB" w14:textId="2F00CED9" w:rsidR="00510841" w:rsidRDefault="00510841" w:rsidP="00510841"/>
    <w:p w14:paraId="4D0C186C" w14:textId="6411CCE9" w:rsidR="00510841" w:rsidRDefault="00510841" w:rsidP="00510841"/>
    <w:p w14:paraId="19EEF325" w14:textId="7EF28683" w:rsidR="00510841" w:rsidRDefault="00510841" w:rsidP="00510841"/>
    <w:p w14:paraId="391F5902" w14:textId="02A680AA" w:rsidR="00510841" w:rsidRDefault="00510841" w:rsidP="00510841"/>
    <w:p w14:paraId="48A2B28E" w14:textId="24A8BF4A" w:rsidR="00510841" w:rsidRDefault="00510841" w:rsidP="00510841"/>
    <w:p w14:paraId="78BF5238" w14:textId="5EC23477" w:rsidR="00510841" w:rsidRDefault="00510841" w:rsidP="00510841"/>
    <w:p w14:paraId="5B639877" w14:textId="16DCE1E7" w:rsidR="00510841" w:rsidRDefault="00510841" w:rsidP="00510841"/>
    <w:p w14:paraId="32D31823" w14:textId="6751B98C" w:rsidR="00510841" w:rsidRDefault="00510841" w:rsidP="00510841"/>
    <w:p w14:paraId="454830F6" w14:textId="4E405556" w:rsidR="00510841" w:rsidRDefault="006F21EB" w:rsidP="00510841">
      <w:r>
        <w:rPr>
          <w:noProof/>
          <w:sz w:val="2"/>
          <w:szCs w:val="2"/>
        </w:rPr>
        <w:lastRenderedPageBreak/>
        <w:drawing>
          <wp:anchor distT="0" distB="0" distL="114300" distR="114300" simplePos="0" relativeHeight="251672576" behindDoc="1" locked="0" layoutInCell="1" allowOverlap="1" wp14:anchorId="34436DF8" wp14:editId="6C02D413">
            <wp:simplePos x="0" y="0"/>
            <wp:positionH relativeFrom="column">
              <wp:posOffset>7210425</wp:posOffset>
            </wp:positionH>
            <wp:positionV relativeFrom="paragraph">
              <wp:posOffset>-12700</wp:posOffset>
            </wp:positionV>
            <wp:extent cx="385531" cy="963827"/>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5531" cy="963827"/>
                    </a:xfrm>
                    <a:prstGeom prst="rect">
                      <a:avLst/>
                    </a:prstGeom>
                  </pic:spPr>
                </pic:pic>
              </a:graphicData>
            </a:graphic>
            <wp14:sizeRelH relativeFrom="page">
              <wp14:pctWidth>0</wp14:pctWidth>
            </wp14:sizeRelH>
            <wp14:sizeRelV relativeFrom="page">
              <wp14:pctHeight>0</wp14:pctHeight>
            </wp14:sizeRelV>
          </wp:anchor>
        </w:drawing>
      </w:r>
    </w:p>
    <w:p w14:paraId="5E3B101F" w14:textId="07F1ED05" w:rsidR="00510841" w:rsidRDefault="00510841" w:rsidP="00510841"/>
    <w:p w14:paraId="1526F410" w14:textId="386CF182" w:rsidR="00510841" w:rsidRDefault="00510841" w:rsidP="00510841"/>
    <w:p w14:paraId="17820BDE" w14:textId="022E88BC" w:rsidR="00510841" w:rsidRDefault="00510841" w:rsidP="00510841"/>
    <w:p w14:paraId="7B4F86F7" w14:textId="226D4098" w:rsidR="00510841" w:rsidRDefault="00510841" w:rsidP="00510841"/>
    <w:p w14:paraId="67D60A78" w14:textId="4EF2C79B" w:rsidR="00510841" w:rsidRDefault="00510841" w:rsidP="00510841"/>
    <w:p w14:paraId="0E52ACFD" w14:textId="3EB1DFAF" w:rsidR="00510841" w:rsidRDefault="00510841" w:rsidP="00510841"/>
    <w:p w14:paraId="1A2DAE19" w14:textId="5453CEA0" w:rsidR="00510841" w:rsidRDefault="006F21EB" w:rsidP="00510841">
      <w:r w:rsidRPr="00CA6641">
        <w:rPr>
          <w:noProof/>
          <w:sz w:val="2"/>
          <w:szCs w:val="2"/>
        </w:rPr>
        <mc:AlternateContent>
          <mc:Choice Requires="wps">
            <w:drawing>
              <wp:anchor distT="45720" distB="45720" distL="114300" distR="114300" simplePos="0" relativeHeight="251666432" behindDoc="0" locked="0" layoutInCell="1" allowOverlap="1" wp14:anchorId="4A360EF6" wp14:editId="7D941ED2">
                <wp:simplePos x="0" y="0"/>
                <wp:positionH relativeFrom="column">
                  <wp:posOffset>342900</wp:posOffset>
                </wp:positionH>
                <wp:positionV relativeFrom="paragraph">
                  <wp:posOffset>165677</wp:posOffset>
                </wp:positionV>
                <wp:extent cx="6943725" cy="65246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524625"/>
                        </a:xfrm>
                        <a:prstGeom prst="rect">
                          <a:avLst/>
                        </a:prstGeom>
                        <a:solidFill>
                          <a:srgbClr val="FFFFFF"/>
                        </a:solidFill>
                        <a:ln w="9525">
                          <a:noFill/>
                          <a:miter lim="800000"/>
                          <a:headEnd/>
                          <a:tailEnd/>
                        </a:ln>
                      </wps:spPr>
                      <wps:txbx>
                        <w:txbxContent>
                          <w:p w14:paraId="6018ADA8" w14:textId="77777777" w:rsidR="00510841" w:rsidRPr="00510841" w:rsidRDefault="00510841" w:rsidP="00454BAA">
                            <w:pPr>
                              <w:pStyle w:val="ListParagraph"/>
                              <w:numPr>
                                <w:ilvl w:val="0"/>
                                <w:numId w:val="7"/>
                              </w:numPr>
                              <w:ind w:left="851" w:hanging="425"/>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 xml:space="preserve">Proposed starting date of the project and duration.  We </w:t>
                            </w:r>
                            <w:proofErr w:type="gramStart"/>
                            <w:r w:rsidRPr="00510841">
                              <w:rPr>
                                <w:rFonts w:ascii="Gilroy Light" w:eastAsiaTheme="minorHAnsi" w:hAnsi="Gilroy Light" w:cs="Calibri"/>
                                <w:color w:val="000000"/>
                                <w:lang w:val="en-GB" w:eastAsia="en-GB"/>
                              </w:rPr>
                              <w:t>are able to</w:t>
                            </w:r>
                            <w:proofErr w:type="gramEnd"/>
                            <w:r w:rsidRPr="00510841">
                              <w:rPr>
                                <w:rFonts w:ascii="Gilroy Light" w:eastAsiaTheme="minorHAnsi" w:hAnsi="Gilroy Light" w:cs="Calibri"/>
                                <w:color w:val="000000"/>
                                <w:lang w:val="en-GB" w:eastAsia="en-GB"/>
                              </w:rPr>
                              <w:t xml:space="preserve"> extend the start date for 6 months after the award is made, however written permission must be obtained if the start date will be after this time.  Please note that it may be possible to apply for an extension of the award duration.  This will be classified as a “non-cost” extension and should be applied for in writing with a detailed report of findings so far and reason for extension.  This will then be taken into consideration by the research committee.  </w:t>
                            </w:r>
                          </w:p>
                          <w:p w14:paraId="2DCAF886" w14:textId="77777777" w:rsidR="00510841" w:rsidRPr="00510841" w:rsidRDefault="00510841" w:rsidP="00510841">
                            <w:pPr>
                              <w:pStyle w:val="ListParagraph"/>
                              <w:rPr>
                                <w:rFonts w:ascii="Gilroy Light" w:eastAsiaTheme="minorHAnsi" w:hAnsi="Gilroy Light" w:cs="Calibri"/>
                                <w:color w:val="000000"/>
                                <w:lang w:val="en-GB" w:eastAsia="en-GB"/>
                              </w:rPr>
                            </w:pPr>
                          </w:p>
                          <w:p w14:paraId="5EACF522" w14:textId="77777777" w:rsidR="00510841" w:rsidRPr="00510841" w:rsidRDefault="00510841" w:rsidP="00510841">
                            <w:pPr>
                              <w:pStyle w:val="ListParagraph"/>
                              <w:numPr>
                                <w:ilvl w:val="0"/>
                                <w:numId w:val="7"/>
                              </w:numPr>
                              <w:ind w:left="851" w:hanging="425"/>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Grants will only be made to individuals and research teams working within the NHS (UK), Health Service Executive (Republic of Ireland) or a recognised University in the UK or Republic of Ireland.  Grants will not be awarded to other charities or institutions.  Grant recipients must work within the United Kingdom or Ireland.</w:t>
                            </w:r>
                          </w:p>
                          <w:p w14:paraId="2C450BFE" w14:textId="77777777" w:rsidR="00510841" w:rsidRPr="00510841" w:rsidRDefault="00510841" w:rsidP="00510841">
                            <w:pPr>
                              <w:pStyle w:val="ListParagraph"/>
                              <w:ind w:left="851" w:hanging="425"/>
                              <w:rPr>
                                <w:rFonts w:ascii="Gilroy Light" w:eastAsiaTheme="minorHAnsi" w:hAnsi="Gilroy Light" w:cs="Calibri"/>
                                <w:color w:val="000000"/>
                                <w:lang w:val="en-GB" w:eastAsia="en-GB"/>
                              </w:rPr>
                            </w:pPr>
                          </w:p>
                          <w:p w14:paraId="6FE9E5AA" w14:textId="0ACE4881" w:rsidR="00510841" w:rsidRPr="00510841" w:rsidRDefault="00510841" w:rsidP="00510841">
                            <w:pPr>
                              <w:pStyle w:val="ListParagraph"/>
                              <w:numPr>
                                <w:ilvl w:val="0"/>
                                <w:numId w:val="7"/>
                              </w:numPr>
                              <w:ind w:left="851" w:hanging="425"/>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When TADCT makes a grant, they reserve the right, without notice, to terminate it should they so wish.  In such a case, TADCT will reimburse the host institution for reasonable expenditure properly incurred under the award up to the termination date, but it will not in any event be responsible for, nor indemnify, the host institution against any matters arising from the employment of staff.</w:t>
                            </w:r>
                          </w:p>
                          <w:p w14:paraId="7B1C9527" w14:textId="77777777" w:rsidR="00510841" w:rsidRPr="00510841" w:rsidRDefault="00510841" w:rsidP="00510841">
                            <w:pPr>
                              <w:pStyle w:val="ListParagraph"/>
                              <w:ind w:left="851" w:hanging="425"/>
                              <w:rPr>
                                <w:rFonts w:ascii="Gilroy Light" w:eastAsiaTheme="minorHAnsi" w:hAnsi="Gilroy Light" w:cs="Calibri"/>
                                <w:color w:val="000000"/>
                                <w:lang w:val="en-GB" w:eastAsia="en-GB"/>
                              </w:rPr>
                            </w:pPr>
                          </w:p>
                          <w:p w14:paraId="1292F6AD" w14:textId="6A5F0EC1" w:rsidR="00510841" w:rsidRDefault="00510841" w:rsidP="00510841">
                            <w:pPr>
                              <w:pStyle w:val="ListParagraph"/>
                              <w:numPr>
                                <w:ilvl w:val="0"/>
                                <w:numId w:val="7"/>
                              </w:numPr>
                              <w:ind w:left="851" w:hanging="425"/>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The charities conflict of interest policy will apply for any trustees or volunteers of TADCT who apply for an award.</w:t>
                            </w:r>
                          </w:p>
                          <w:p w14:paraId="5217FFDA" w14:textId="77777777" w:rsidR="00142F56" w:rsidRPr="00142F56" w:rsidRDefault="00142F56" w:rsidP="00142F56">
                            <w:pPr>
                              <w:pStyle w:val="ListParagraph"/>
                              <w:rPr>
                                <w:rFonts w:ascii="Gilroy Light" w:eastAsiaTheme="minorHAnsi" w:hAnsi="Gilroy Light" w:cs="Calibri"/>
                                <w:color w:val="000000"/>
                                <w:lang w:val="en-GB" w:eastAsia="en-GB"/>
                              </w:rPr>
                            </w:pPr>
                          </w:p>
                          <w:p w14:paraId="5BC5E611" w14:textId="059B82C4" w:rsidR="00142F56" w:rsidRPr="00102AC3" w:rsidRDefault="00142F56" w:rsidP="00510841">
                            <w:pPr>
                              <w:pStyle w:val="ListParagraph"/>
                              <w:numPr>
                                <w:ilvl w:val="0"/>
                                <w:numId w:val="7"/>
                              </w:numPr>
                              <w:ind w:left="851" w:hanging="425"/>
                              <w:rPr>
                                <w:rFonts w:ascii="Gilroy Light" w:eastAsiaTheme="minorHAnsi" w:hAnsi="Gilroy Light" w:cs="Calibri"/>
                                <w:color w:val="000000"/>
                                <w:lang w:val="en-GB" w:eastAsia="en-GB"/>
                              </w:rPr>
                            </w:pPr>
                            <w:r w:rsidRPr="00CA6641">
                              <w:rPr>
                                <w:rFonts w:ascii="Gilroy Light" w:hAnsi="Gilroy Light"/>
                                <w:color w:val="000000"/>
                              </w:rPr>
                              <w:t xml:space="preserve">If patient, </w:t>
                            </w:r>
                            <w:proofErr w:type="gramStart"/>
                            <w:r w:rsidRPr="00CA6641">
                              <w:rPr>
                                <w:rFonts w:ascii="Gilroy Light" w:hAnsi="Gilroy Light"/>
                                <w:color w:val="000000"/>
                              </w:rPr>
                              <w:t>relative</w:t>
                            </w:r>
                            <w:proofErr w:type="gramEnd"/>
                            <w:r w:rsidRPr="00CA6641">
                              <w:rPr>
                                <w:rFonts w:ascii="Gilroy Light" w:hAnsi="Gilroy Light"/>
                                <w:color w:val="000000"/>
                              </w:rPr>
                              <w:t xml:space="preserve"> or public engagement is required this will be provided by the charity’s Research Advisory Group</w:t>
                            </w:r>
                            <w:r w:rsidR="00102AC3">
                              <w:rPr>
                                <w:rFonts w:ascii="Gilroy Light" w:hAnsi="Gilroy Light"/>
                                <w:color w:val="000000"/>
                              </w:rPr>
                              <w:t>.</w:t>
                            </w:r>
                          </w:p>
                          <w:p w14:paraId="7061456E" w14:textId="77777777" w:rsidR="00102AC3" w:rsidRPr="00102AC3" w:rsidRDefault="00102AC3" w:rsidP="00102AC3">
                            <w:pPr>
                              <w:pStyle w:val="ListParagraph"/>
                              <w:rPr>
                                <w:rFonts w:ascii="Gilroy Light" w:eastAsiaTheme="minorHAnsi" w:hAnsi="Gilroy Light" w:cs="Calibri"/>
                                <w:color w:val="000000"/>
                                <w:lang w:val="en-GB" w:eastAsia="en-GB"/>
                              </w:rPr>
                            </w:pPr>
                          </w:p>
                          <w:p w14:paraId="6D36F4FB" w14:textId="6233ED11" w:rsidR="00102AC3" w:rsidRDefault="00102AC3" w:rsidP="00510841">
                            <w:pPr>
                              <w:pStyle w:val="ListParagraph"/>
                              <w:numPr>
                                <w:ilvl w:val="0"/>
                                <w:numId w:val="7"/>
                              </w:numPr>
                              <w:ind w:left="851" w:hanging="425"/>
                              <w:rPr>
                                <w:rFonts w:ascii="Gilroy Light" w:eastAsiaTheme="minorHAnsi" w:hAnsi="Gilroy Light" w:cs="Calibri"/>
                                <w:color w:val="000000"/>
                                <w:lang w:val="en-GB" w:eastAsia="en-GB"/>
                              </w:rPr>
                            </w:pPr>
                            <w:r>
                              <w:rPr>
                                <w:rFonts w:ascii="Gilroy Light" w:eastAsiaTheme="minorHAnsi" w:hAnsi="Gilroy Light" w:cs="Calibri"/>
                                <w:color w:val="000000"/>
                                <w:lang w:val="en-GB" w:eastAsia="en-GB"/>
                              </w:rPr>
                              <w:t>As an Introductory Member of The Association of Medical Research Charities (AMRC) we adhere to AMRC’s best practice guidelines.</w:t>
                            </w:r>
                          </w:p>
                          <w:p w14:paraId="51DFDDB9" w14:textId="77777777" w:rsidR="00142F56" w:rsidRPr="00142F56" w:rsidRDefault="00142F56" w:rsidP="00142F56">
                            <w:pPr>
                              <w:pStyle w:val="ListParagraph"/>
                              <w:rPr>
                                <w:rFonts w:ascii="Gilroy Light" w:eastAsiaTheme="minorHAnsi" w:hAnsi="Gilroy Light" w:cs="Calibri"/>
                                <w:color w:val="000000"/>
                                <w:lang w:val="en-GB" w:eastAsia="en-GB"/>
                              </w:rPr>
                            </w:pPr>
                          </w:p>
                          <w:p w14:paraId="6F956D07" w14:textId="7D1A8AB3" w:rsidR="00142F56" w:rsidRDefault="00142F56" w:rsidP="00142F56">
                            <w:pPr>
                              <w:pStyle w:val="NormalWeb"/>
                              <w:ind w:left="851"/>
                              <w:rPr>
                                <w:rFonts w:ascii="Gilroy Light" w:hAnsi="Gilroy Light"/>
                                <w:color w:val="000000"/>
                              </w:rPr>
                            </w:pPr>
                          </w:p>
                          <w:p w14:paraId="7AB6750B" w14:textId="77777777" w:rsidR="00510841" w:rsidRPr="00510841" w:rsidRDefault="00510841" w:rsidP="00510841">
                            <w:pPr>
                              <w:pStyle w:val="ListParagraph"/>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Please confirm your agreement to these conditions by signing and returning this sheet.  Strict compliance with these T&amp;C's is required and failure to do so will jeopardise any future applications to The Aortic Dissection Charitable Trust.</w:t>
                            </w:r>
                          </w:p>
                          <w:p w14:paraId="44B5252D" w14:textId="77777777" w:rsidR="00510841" w:rsidRPr="00510841" w:rsidRDefault="00510841" w:rsidP="00510841">
                            <w:pPr>
                              <w:pStyle w:val="ListParagraph"/>
                              <w:rPr>
                                <w:rFonts w:ascii="Gilroy Light" w:eastAsiaTheme="minorHAnsi" w:hAnsi="Gilroy Light" w:cs="Calibri"/>
                                <w:color w:val="000000"/>
                                <w:lang w:val="en-GB" w:eastAsia="en-GB"/>
                              </w:rPr>
                            </w:pPr>
                          </w:p>
                          <w:p w14:paraId="746004B0" w14:textId="77777777" w:rsidR="00510841" w:rsidRPr="00510841" w:rsidRDefault="00510841" w:rsidP="00510841">
                            <w:pPr>
                              <w:pStyle w:val="ListParagraph"/>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I hereby agree to abide by the above conditions</w:t>
                            </w:r>
                          </w:p>
                          <w:p w14:paraId="22A0CFDF" w14:textId="77777777" w:rsidR="00510841" w:rsidRPr="00510841" w:rsidRDefault="00510841" w:rsidP="00510841">
                            <w:pPr>
                              <w:pStyle w:val="ListParagraph"/>
                              <w:rPr>
                                <w:rFonts w:ascii="Gilroy Light" w:eastAsiaTheme="minorHAnsi" w:hAnsi="Gilroy Light" w:cs="Calibri"/>
                                <w:color w:val="000000"/>
                                <w:lang w:val="en-GB" w:eastAsia="en-GB"/>
                              </w:rPr>
                            </w:pPr>
                          </w:p>
                          <w:p w14:paraId="0E536246" w14:textId="77777777" w:rsidR="00510841" w:rsidRPr="00510841" w:rsidRDefault="00510841" w:rsidP="00510841">
                            <w:pPr>
                              <w:pStyle w:val="ListParagraph"/>
                              <w:rPr>
                                <w:rFonts w:ascii="Gilroy Light" w:eastAsiaTheme="minorHAnsi" w:hAnsi="Gilroy Light" w:cs="Calibri"/>
                                <w:color w:val="000000"/>
                                <w:lang w:val="en-GB" w:eastAsia="en-GB"/>
                              </w:rPr>
                            </w:pPr>
                          </w:p>
                          <w:p w14:paraId="2FEDDD1D" w14:textId="77777777" w:rsidR="00510841" w:rsidRPr="00510841" w:rsidRDefault="00510841" w:rsidP="00510841">
                            <w:pPr>
                              <w:pStyle w:val="ListParagraph"/>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Signed ………………………………………………</w:t>
                            </w:r>
                            <w:proofErr w:type="gramStart"/>
                            <w:r w:rsidRPr="00510841">
                              <w:rPr>
                                <w:rFonts w:ascii="Gilroy Light" w:eastAsiaTheme="minorHAnsi" w:hAnsi="Gilroy Light" w:cs="Calibri"/>
                                <w:color w:val="000000"/>
                                <w:lang w:val="en-GB" w:eastAsia="en-GB"/>
                              </w:rPr>
                              <w:t>…..</w:t>
                            </w:r>
                            <w:proofErr w:type="gramEnd"/>
                            <w:r w:rsidRPr="00510841">
                              <w:rPr>
                                <w:rFonts w:ascii="Gilroy Light" w:eastAsiaTheme="minorHAnsi" w:hAnsi="Gilroy Light" w:cs="Calibri"/>
                                <w:color w:val="000000"/>
                                <w:lang w:val="en-GB" w:eastAsia="en-GB"/>
                              </w:rPr>
                              <w:tab/>
                              <w:t>Date …………………………</w:t>
                            </w:r>
                          </w:p>
                          <w:p w14:paraId="53487887" w14:textId="77777777" w:rsidR="00510841" w:rsidRPr="00510841" w:rsidRDefault="00510841" w:rsidP="00510841">
                            <w:pPr>
                              <w:pStyle w:val="ListParagraph"/>
                              <w:rPr>
                                <w:rFonts w:ascii="Gilroy Light" w:eastAsiaTheme="minorHAnsi" w:hAnsi="Gilroy Light" w:cs="Calibri"/>
                                <w:color w:val="000000"/>
                                <w:lang w:val="en-GB" w:eastAsia="en-GB"/>
                              </w:rPr>
                            </w:pPr>
                          </w:p>
                          <w:p w14:paraId="1E44A877" w14:textId="77777777" w:rsidR="00510841" w:rsidRPr="00510841" w:rsidRDefault="00510841" w:rsidP="00510841">
                            <w:pPr>
                              <w:pStyle w:val="ListParagraph"/>
                              <w:rPr>
                                <w:rFonts w:ascii="Gilroy Light" w:eastAsiaTheme="minorHAnsi" w:hAnsi="Gilroy Light" w:cs="Calibri"/>
                                <w:color w:val="000000"/>
                                <w:lang w:val="en-GB" w:eastAsia="en-GB"/>
                              </w:rPr>
                            </w:pPr>
                          </w:p>
                          <w:p w14:paraId="4AFF9367" w14:textId="77777777" w:rsidR="00510841" w:rsidRPr="00510841" w:rsidRDefault="00510841" w:rsidP="00510841">
                            <w:pPr>
                              <w:pStyle w:val="ListParagraph"/>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Print Name: …………………………………………………………………………………….</w:t>
                            </w:r>
                          </w:p>
                          <w:p w14:paraId="49C6BCC5" w14:textId="77777777" w:rsidR="00510841" w:rsidRPr="00510841" w:rsidRDefault="00510841" w:rsidP="00510841">
                            <w:pPr>
                              <w:pStyle w:val="ListParagraph"/>
                              <w:rPr>
                                <w:rFonts w:ascii="Gilroy Light" w:eastAsiaTheme="minorHAnsi" w:hAnsi="Gilroy Light" w:cs="Calibri"/>
                                <w:color w:val="000000"/>
                                <w:lang w:val="en-GB" w:eastAsia="en-GB"/>
                              </w:rPr>
                            </w:pPr>
                          </w:p>
                          <w:p w14:paraId="6844B00D" w14:textId="77777777" w:rsidR="00510841" w:rsidRPr="00510841" w:rsidRDefault="00510841" w:rsidP="00510841">
                            <w:pPr>
                              <w:pStyle w:val="ListParagraph"/>
                              <w:rPr>
                                <w:rFonts w:ascii="Gilroy Light" w:eastAsiaTheme="minorHAnsi" w:hAnsi="Gilroy Light" w:cs="Calibri"/>
                                <w:color w:val="000000"/>
                                <w:lang w:val="en-GB" w:eastAsia="en-GB"/>
                              </w:rPr>
                            </w:pPr>
                          </w:p>
                          <w:p w14:paraId="2E22BE70" w14:textId="77777777" w:rsidR="00510841" w:rsidRPr="00510841" w:rsidRDefault="00510841" w:rsidP="00510841">
                            <w:pPr>
                              <w:pStyle w:val="ListParagraph"/>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Position Title …………………………………………………………………………………….</w:t>
                            </w:r>
                          </w:p>
                          <w:p w14:paraId="05F08EC1" w14:textId="77777777" w:rsidR="00510841" w:rsidRPr="00510841" w:rsidRDefault="00510841" w:rsidP="00510841">
                            <w:pPr>
                              <w:pStyle w:val="ListParagraph"/>
                              <w:rPr>
                                <w:rFonts w:ascii="Gilroy Light" w:eastAsiaTheme="minorHAnsi" w:hAnsi="Gilroy Light" w:cs="Calibri"/>
                                <w:color w:val="000000"/>
                                <w:lang w:val="en-GB" w:eastAsia="en-GB"/>
                              </w:rPr>
                            </w:pPr>
                          </w:p>
                          <w:p w14:paraId="78A14133" w14:textId="77777777" w:rsidR="00510841" w:rsidRPr="00510841" w:rsidRDefault="00510841" w:rsidP="00510841">
                            <w:pPr>
                              <w:pStyle w:val="ListParagraph"/>
                              <w:rPr>
                                <w:rFonts w:ascii="Gilroy Light" w:eastAsiaTheme="minorHAnsi" w:hAnsi="Gilroy Light" w:cs="Calibri"/>
                                <w:color w:val="000000"/>
                                <w:lang w:val="en-GB" w:eastAsia="en-GB"/>
                              </w:rPr>
                            </w:pPr>
                          </w:p>
                          <w:p w14:paraId="5D4F3F7B" w14:textId="7F82D7EC" w:rsidR="00510841" w:rsidRPr="00510841" w:rsidRDefault="00510841" w:rsidP="00510841">
                            <w:pPr>
                              <w:pStyle w:val="ListParagraph"/>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Employer Name ………………………………………………………………………………</w:t>
                            </w:r>
                          </w:p>
                          <w:p w14:paraId="4443388F" w14:textId="77777777" w:rsidR="00510841" w:rsidRPr="00510841" w:rsidRDefault="00510841" w:rsidP="00510841">
                            <w:pPr>
                              <w:pStyle w:val="ListParagraph"/>
                              <w:rPr>
                                <w:rFonts w:ascii="Gilroy Light" w:eastAsiaTheme="minorHAnsi" w:hAnsi="Gilroy Light" w:cs="Calibri"/>
                                <w:color w:val="000000"/>
                                <w:lang w:val="en-GB" w:eastAsia="en-GB"/>
                              </w:rPr>
                            </w:pPr>
                          </w:p>
                          <w:p w14:paraId="61DDAED9" w14:textId="77777777" w:rsidR="00510841" w:rsidRPr="00510841" w:rsidRDefault="00510841" w:rsidP="00510841">
                            <w:pPr>
                              <w:pStyle w:val="ListParagraph"/>
                              <w:rPr>
                                <w:rFonts w:ascii="Gilroy Light" w:eastAsiaTheme="minorHAnsi" w:hAnsi="Gilroy Light" w:cs="Calibri"/>
                                <w:color w:val="000000"/>
                                <w:lang w:val="en-GB" w:eastAsia="en-GB"/>
                              </w:rPr>
                            </w:pPr>
                          </w:p>
                          <w:p w14:paraId="1089A010" w14:textId="77777777" w:rsidR="00510841" w:rsidRPr="00510841" w:rsidRDefault="00510841" w:rsidP="00510841">
                            <w:pPr>
                              <w:pStyle w:val="ListParagraph"/>
                              <w:rPr>
                                <w:rFonts w:ascii="Gilroy Light" w:eastAsiaTheme="minorHAnsi" w:hAnsi="Gilroy Light" w:cs="Calibri"/>
                                <w:color w:val="000000"/>
                                <w:lang w:val="en-GB" w:eastAsia="en-GB"/>
                              </w:rPr>
                            </w:pPr>
                          </w:p>
                          <w:p w14:paraId="1F5AA73B" w14:textId="77777777" w:rsidR="00510841" w:rsidRPr="00CB4546" w:rsidRDefault="00510841" w:rsidP="00510841">
                            <w:pPr>
                              <w:pStyle w:val="ListParagraph"/>
                              <w:rPr>
                                <w:rFonts w:ascii="Gilroy Light" w:hAnsi="Gilroy Light"/>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60EF6" id="_x0000_s1027" type="#_x0000_t202" style="position:absolute;margin-left:27pt;margin-top:13.05pt;width:546.75pt;height:51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hfDwIAAP4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" stroked="f">
                <v:textbox>
                  <w:txbxContent>
                    <w:p w14:paraId="6018ADA8" w14:textId="77777777" w:rsidR="00510841" w:rsidRPr="00510841" w:rsidRDefault="00510841" w:rsidP="00454BAA">
                      <w:pPr>
                        <w:pStyle w:val="ListParagraph"/>
                        <w:numPr>
                          <w:ilvl w:val="0"/>
                          <w:numId w:val="7"/>
                        </w:numPr>
                        <w:ind w:left="851" w:hanging="425"/>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 xml:space="preserve">Proposed starting date of the project and duration.  We </w:t>
                      </w:r>
                      <w:proofErr w:type="gramStart"/>
                      <w:r w:rsidRPr="00510841">
                        <w:rPr>
                          <w:rFonts w:ascii="Gilroy Light" w:eastAsiaTheme="minorHAnsi" w:hAnsi="Gilroy Light" w:cs="Calibri"/>
                          <w:color w:val="000000"/>
                          <w:lang w:val="en-GB" w:eastAsia="en-GB"/>
                        </w:rPr>
                        <w:t>are able to</w:t>
                      </w:r>
                      <w:proofErr w:type="gramEnd"/>
                      <w:r w:rsidRPr="00510841">
                        <w:rPr>
                          <w:rFonts w:ascii="Gilroy Light" w:eastAsiaTheme="minorHAnsi" w:hAnsi="Gilroy Light" w:cs="Calibri"/>
                          <w:color w:val="000000"/>
                          <w:lang w:val="en-GB" w:eastAsia="en-GB"/>
                        </w:rPr>
                        <w:t xml:space="preserve"> extend the start date for 6 months after the award is made, however written permission must be obtained if the start date will be after this time.  Please note that it may be possible to apply for an extension of the award duration.  This will be classified as a “non-cost” extension and should be applied for in writing with a detailed report of findings so far and reason for extension.  This will then be taken into consideration by the research committee.  </w:t>
                      </w:r>
                    </w:p>
                    <w:p w14:paraId="2DCAF886" w14:textId="77777777" w:rsidR="00510841" w:rsidRPr="00510841" w:rsidRDefault="00510841" w:rsidP="00510841">
                      <w:pPr>
                        <w:pStyle w:val="ListParagraph"/>
                        <w:rPr>
                          <w:rFonts w:ascii="Gilroy Light" w:eastAsiaTheme="minorHAnsi" w:hAnsi="Gilroy Light" w:cs="Calibri"/>
                          <w:color w:val="000000"/>
                          <w:lang w:val="en-GB" w:eastAsia="en-GB"/>
                        </w:rPr>
                      </w:pPr>
                    </w:p>
                    <w:p w14:paraId="5EACF522" w14:textId="77777777" w:rsidR="00510841" w:rsidRPr="00510841" w:rsidRDefault="00510841" w:rsidP="00510841">
                      <w:pPr>
                        <w:pStyle w:val="ListParagraph"/>
                        <w:numPr>
                          <w:ilvl w:val="0"/>
                          <w:numId w:val="7"/>
                        </w:numPr>
                        <w:ind w:left="851" w:hanging="425"/>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Grants will only be made to individuals and research teams working within the NHS (UK), Health Service Executive (Republic of Ireland) or a recognised University in the UK or Republic of Ireland.  Grants will not be awarded to other charities or institutions.  Grant recipients must work within the United Kingdom or Ireland.</w:t>
                      </w:r>
                    </w:p>
                    <w:p w14:paraId="2C450BFE" w14:textId="77777777" w:rsidR="00510841" w:rsidRPr="00510841" w:rsidRDefault="00510841" w:rsidP="00510841">
                      <w:pPr>
                        <w:pStyle w:val="ListParagraph"/>
                        <w:ind w:left="851" w:hanging="425"/>
                        <w:rPr>
                          <w:rFonts w:ascii="Gilroy Light" w:eastAsiaTheme="minorHAnsi" w:hAnsi="Gilroy Light" w:cs="Calibri"/>
                          <w:color w:val="000000"/>
                          <w:lang w:val="en-GB" w:eastAsia="en-GB"/>
                        </w:rPr>
                      </w:pPr>
                    </w:p>
                    <w:p w14:paraId="6FE9E5AA" w14:textId="0ACE4881" w:rsidR="00510841" w:rsidRPr="00510841" w:rsidRDefault="00510841" w:rsidP="00510841">
                      <w:pPr>
                        <w:pStyle w:val="ListParagraph"/>
                        <w:numPr>
                          <w:ilvl w:val="0"/>
                          <w:numId w:val="7"/>
                        </w:numPr>
                        <w:ind w:left="851" w:hanging="425"/>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When TADCT makes a grant, they reserve the right, without notice, to terminate it should they so wish.  In such a case, TADCT will reimburse the host institution for reasonable expenditure properly incurred under the award up to the termination date, but it will not in any event be responsible for, nor indemnify, the host institution against any matters arising from the employment of staff.</w:t>
                      </w:r>
                    </w:p>
                    <w:p w14:paraId="7B1C9527" w14:textId="77777777" w:rsidR="00510841" w:rsidRPr="00510841" w:rsidRDefault="00510841" w:rsidP="00510841">
                      <w:pPr>
                        <w:pStyle w:val="ListParagraph"/>
                        <w:ind w:left="851" w:hanging="425"/>
                        <w:rPr>
                          <w:rFonts w:ascii="Gilroy Light" w:eastAsiaTheme="minorHAnsi" w:hAnsi="Gilroy Light" w:cs="Calibri"/>
                          <w:color w:val="000000"/>
                          <w:lang w:val="en-GB" w:eastAsia="en-GB"/>
                        </w:rPr>
                      </w:pPr>
                    </w:p>
                    <w:p w14:paraId="1292F6AD" w14:textId="6A5F0EC1" w:rsidR="00510841" w:rsidRDefault="00510841" w:rsidP="00510841">
                      <w:pPr>
                        <w:pStyle w:val="ListParagraph"/>
                        <w:numPr>
                          <w:ilvl w:val="0"/>
                          <w:numId w:val="7"/>
                        </w:numPr>
                        <w:ind w:left="851" w:hanging="425"/>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The charities conflict of interest policy will apply for any trustees or volunteers of TADCT who apply for an award.</w:t>
                      </w:r>
                    </w:p>
                    <w:p w14:paraId="5217FFDA" w14:textId="77777777" w:rsidR="00142F56" w:rsidRPr="00142F56" w:rsidRDefault="00142F56" w:rsidP="00142F56">
                      <w:pPr>
                        <w:pStyle w:val="ListParagraph"/>
                        <w:rPr>
                          <w:rFonts w:ascii="Gilroy Light" w:eastAsiaTheme="minorHAnsi" w:hAnsi="Gilroy Light" w:cs="Calibri"/>
                          <w:color w:val="000000"/>
                          <w:lang w:val="en-GB" w:eastAsia="en-GB"/>
                        </w:rPr>
                      </w:pPr>
                    </w:p>
                    <w:p w14:paraId="5BC5E611" w14:textId="059B82C4" w:rsidR="00142F56" w:rsidRPr="00102AC3" w:rsidRDefault="00142F56" w:rsidP="00510841">
                      <w:pPr>
                        <w:pStyle w:val="ListParagraph"/>
                        <w:numPr>
                          <w:ilvl w:val="0"/>
                          <w:numId w:val="7"/>
                        </w:numPr>
                        <w:ind w:left="851" w:hanging="425"/>
                        <w:rPr>
                          <w:rFonts w:ascii="Gilroy Light" w:eastAsiaTheme="minorHAnsi" w:hAnsi="Gilroy Light" w:cs="Calibri"/>
                          <w:color w:val="000000"/>
                          <w:lang w:val="en-GB" w:eastAsia="en-GB"/>
                        </w:rPr>
                      </w:pPr>
                      <w:r w:rsidRPr="00CA6641">
                        <w:rPr>
                          <w:rFonts w:ascii="Gilroy Light" w:hAnsi="Gilroy Light"/>
                          <w:color w:val="000000"/>
                        </w:rPr>
                        <w:t xml:space="preserve">If patient, </w:t>
                      </w:r>
                      <w:proofErr w:type="gramStart"/>
                      <w:r w:rsidRPr="00CA6641">
                        <w:rPr>
                          <w:rFonts w:ascii="Gilroy Light" w:hAnsi="Gilroy Light"/>
                          <w:color w:val="000000"/>
                        </w:rPr>
                        <w:t>relative</w:t>
                      </w:r>
                      <w:proofErr w:type="gramEnd"/>
                      <w:r w:rsidRPr="00CA6641">
                        <w:rPr>
                          <w:rFonts w:ascii="Gilroy Light" w:hAnsi="Gilroy Light"/>
                          <w:color w:val="000000"/>
                        </w:rPr>
                        <w:t xml:space="preserve"> or public engagement is required this will be provided by the charity’s Research Advisory Group</w:t>
                      </w:r>
                      <w:r w:rsidR="00102AC3">
                        <w:rPr>
                          <w:rFonts w:ascii="Gilroy Light" w:hAnsi="Gilroy Light"/>
                          <w:color w:val="000000"/>
                        </w:rPr>
                        <w:t>.</w:t>
                      </w:r>
                    </w:p>
                    <w:p w14:paraId="7061456E" w14:textId="77777777" w:rsidR="00102AC3" w:rsidRPr="00102AC3" w:rsidRDefault="00102AC3" w:rsidP="00102AC3">
                      <w:pPr>
                        <w:pStyle w:val="ListParagraph"/>
                        <w:rPr>
                          <w:rFonts w:ascii="Gilroy Light" w:eastAsiaTheme="minorHAnsi" w:hAnsi="Gilroy Light" w:cs="Calibri"/>
                          <w:color w:val="000000"/>
                          <w:lang w:val="en-GB" w:eastAsia="en-GB"/>
                        </w:rPr>
                      </w:pPr>
                    </w:p>
                    <w:p w14:paraId="6D36F4FB" w14:textId="6233ED11" w:rsidR="00102AC3" w:rsidRDefault="00102AC3" w:rsidP="00510841">
                      <w:pPr>
                        <w:pStyle w:val="ListParagraph"/>
                        <w:numPr>
                          <w:ilvl w:val="0"/>
                          <w:numId w:val="7"/>
                        </w:numPr>
                        <w:ind w:left="851" w:hanging="425"/>
                        <w:rPr>
                          <w:rFonts w:ascii="Gilroy Light" w:eastAsiaTheme="minorHAnsi" w:hAnsi="Gilroy Light" w:cs="Calibri"/>
                          <w:color w:val="000000"/>
                          <w:lang w:val="en-GB" w:eastAsia="en-GB"/>
                        </w:rPr>
                      </w:pPr>
                      <w:r>
                        <w:rPr>
                          <w:rFonts w:ascii="Gilroy Light" w:eastAsiaTheme="minorHAnsi" w:hAnsi="Gilroy Light" w:cs="Calibri"/>
                          <w:color w:val="000000"/>
                          <w:lang w:val="en-GB" w:eastAsia="en-GB"/>
                        </w:rPr>
                        <w:t>As an Introductory Member of The Association of Medical Research Charities (AMRC) we adhere to AMRC’s best practice guidelines.</w:t>
                      </w:r>
                    </w:p>
                    <w:p w14:paraId="51DFDDB9" w14:textId="77777777" w:rsidR="00142F56" w:rsidRPr="00142F56" w:rsidRDefault="00142F56" w:rsidP="00142F56">
                      <w:pPr>
                        <w:pStyle w:val="ListParagraph"/>
                        <w:rPr>
                          <w:rFonts w:ascii="Gilroy Light" w:eastAsiaTheme="minorHAnsi" w:hAnsi="Gilroy Light" w:cs="Calibri"/>
                          <w:color w:val="000000"/>
                          <w:lang w:val="en-GB" w:eastAsia="en-GB"/>
                        </w:rPr>
                      </w:pPr>
                    </w:p>
                    <w:p w14:paraId="6F956D07" w14:textId="7D1A8AB3" w:rsidR="00142F56" w:rsidRDefault="00142F56" w:rsidP="00142F56">
                      <w:pPr>
                        <w:pStyle w:val="NormalWeb"/>
                        <w:ind w:left="851"/>
                        <w:rPr>
                          <w:rFonts w:ascii="Gilroy Light" w:hAnsi="Gilroy Light"/>
                          <w:color w:val="000000"/>
                        </w:rPr>
                      </w:pPr>
                    </w:p>
                    <w:p w14:paraId="7AB6750B" w14:textId="77777777" w:rsidR="00510841" w:rsidRPr="00510841" w:rsidRDefault="00510841" w:rsidP="00510841">
                      <w:pPr>
                        <w:pStyle w:val="ListParagraph"/>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Please confirm your agreement to these conditions by signing and returning this sheet.  Strict compliance with these T&amp;C's is required and failure to do so will jeopardise any future applications to The Aortic Dissection Charitable Trust.</w:t>
                      </w:r>
                    </w:p>
                    <w:p w14:paraId="44B5252D" w14:textId="77777777" w:rsidR="00510841" w:rsidRPr="00510841" w:rsidRDefault="00510841" w:rsidP="00510841">
                      <w:pPr>
                        <w:pStyle w:val="ListParagraph"/>
                        <w:rPr>
                          <w:rFonts w:ascii="Gilroy Light" w:eastAsiaTheme="minorHAnsi" w:hAnsi="Gilroy Light" w:cs="Calibri"/>
                          <w:color w:val="000000"/>
                          <w:lang w:val="en-GB" w:eastAsia="en-GB"/>
                        </w:rPr>
                      </w:pPr>
                    </w:p>
                    <w:p w14:paraId="746004B0" w14:textId="77777777" w:rsidR="00510841" w:rsidRPr="00510841" w:rsidRDefault="00510841" w:rsidP="00510841">
                      <w:pPr>
                        <w:pStyle w:val="ListParagraph"/>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I hereby agree to abide by the above conditions</w:t>
                      </w:r>
                    </w:p>
                    <w:p w14:paraId="22A0CFDF" w14:textId="77777777" w:rsidR="00510841" w:rsidRPr="00510841" w:rsidRDefault="00510841" w:rsidP="00510841">
                      <w:pPr>
                        <w:pStyle w:val="ListParagraph"/>
                        <w:rPr>
                          <w:rFonts w:ascii="Gilroy Light" w:eastAsiaTheme="minorHAnsi" w:hAnsi="Gilroy Light" w:cs="Calibri"/>
                          <w:color w:val="000000"/>
                          <w:lang w:val="en-GB" w:eastAsia="en-GB"/>
                        </w:rPr>
                      </w:pPr>
                    </w:p>
                    <w:p w14:paraId="0E536246" w14:textId="77777777" w:rsidR="00510841" w:rsidRPr="00510841" w:rsidRDefault="00510841" w:rsidP="00510841">
                      <w:pPr>
                        <w:pStyle w:val="ListParagraph"/>
                        <w:rPr>
                          <w:rFonts w:ascii="Gilroy Light" w:eastAsiaTheme="minorHAnsi" w:hAnsi="Gilroy Light" w:cs="Calibri"/>
                          <w:color w:val="000000"/>
                          <w:lang w:val="en-GB" w:eastAsia="en-GB"/>
                        </w:rPr>
                      </w:pPr>
                    </w:p>
                    <w:p w14:paraId="2FEDDD1D" w14:textId="77777777" w:rsidR="00510841" w:rsidRPr="00510841" w:rsidRDefault="00510841" w:rsidP="00510841">
                      <w:pPr>
                        <w:pStyle w:val="ListParagraph"/>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Signed ………………………………………………</w:t>
                      </w:r>
                      <w:proofErr w:type="gramStart"/>
                      <w:r w:rsidRPr="00510841">
                        <w:rPr>
                          <w:rFonts w:ascii="Gilroy Light" w:eastAsiaTheme="minorHAnsi" w:hAnsi="Gilroy Light" w:cs="Calibri"/>
                          <w:color w:val="000000"/>
                          <w:lang w:val="en-GB" w:eastAsia="en-GB"/>
                        </w:rPr>
                        <w:t>…..</w:t>
                      </w:r>
                      <w:proofErr w:type="gramEnd"/>
                      <w:r w:rsidRPr="00510841">
                        <w:rPr>
                          <w:rFonts w:ascii="Gilroy Light" w:eastAsiaTheme="minorHAnsi" w:hAnsi="Gilroy Light" w:cs="Calibri"/>
                          <w:color w:val="000000"/>
                          <w:lang w:val="en-GB" w:eastAsia="en-GB"/>
                        </w:rPr>
                        <w:tab/>
                        <w:t>Date …………………………</w:t>
                      </w:r>
                    </w:p>
                    <w:p w14:paraId="53487887" w14:textId="77777777" w:rsidR="00510841" w:rsidRPr="00510841" w:rsidRDefault="00510841" w:rsidP="00510841">
                      <w:pPr>
                        <w:pStyle w:val="ListParagraph"/>
                        <w:rPr>
                          <w:rFonts w:ascii="Gilroy Light" w:eastAsiaTheme="minorHAnsi" w:hAnsi="Gilroy Light" w:cs="Calibri"/>
                          <w:color w:val="000000"/>
                          <w:lang w:val="en-GB" w:eastAsia="en-GB"/>
                        </w:rPr>
                      </w:pPr>
                    </w:p>
                    <w:p w14:paraId="1E44A877" w14:textId="77777777" w:rsidR="00510841" w:rsidRPr="00510841" w:rsidRDefault="00510841" w:rsidP="00510841">
                      <w:pPr>
                        <w:pStyle w:val="ListParagraph"/>
                        <w:rPr>
                          <w:rFonts w:ascii="Gilroy Light" w:eastAsiaTheme="minorHAnsi" w:hAnsi="Gilroy Light" w:cs="Calibri"/>
                          <w:color w:val="000000"/>
                          <w:lang w:val="en-GB" w:eastAsia="en-GB"/>
                        </w:rPr>
                      </w:pPr>
                    </w:p>
                    <w:p w14:paraId="4AFF9367" w14:textId="77777777" w:rsidR="00510841" w:rsidRPr="00510841" w:rsidRDefault="00510841" w:rsidP="00510841">
                      <w:pPr>
                        <w:pStyle w:val="ListParagraph"/>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Print Name: …………………………………………………………………………………….</w:t>
                      </w:r>
                    </w:p>
                    <w:p w14:paraId="49C6BCC5" w14:textId="77777777" w:rsidR="00510841" w:rsidRPr="00510841" w:rsidRDefault="00510841" w:rsidP="00510841">
                      <w:pPr>
                        <w:pStyle w:val="ListParagraph"/>
                        <w:rPr>
                          <w:rFonts w:ascii="Gilroy Light" w:eastAsiaTheme="minorHAnsi" w:hAnsi="Gilroy Light" w:cs="Calibri"/>
                          <w:color w:val="000000"/>
                          <w:lang w:val="en-GB" w:eastAsia="en-GB"/>
                        </w:rPr>
                      </w:pPr>
                    </w:p>
                    <w:p w14:paraId="6844B00D" w14:textId="77777777" w:rsidR="00510841" w:rsidRPr="00510841" w:rsidRDefault="00510841" w:rsidP="00510841">
                      <w:pPr>
                        <w:pStyle w:val="ListParagraph"/>
                        <w:rPr>
                          <w:rFonts w:ascii="Gilroy Light" w:eastAsiaTheme="minorHAnsi" w:hAnsi="Gilroy Light" w:cs="Calibri"/>
                          <w:color w:val="000000"/>
                          <w:lang w:val="en-GB" w:eastAsia="en-GB"/>
                        </w:rPr>
                      </w:pPr>
                    </w:p>
                    <w:p w14:paraId="2E22BE70" w14:textId="77777777" w:rsidR="00510841" w:rsidRPr="00510841" w:rsidRDefault="00510841" w:rsidP="00510841">
                      <w:pPr>
                        <w:pStyle w:val="ListParagraph"/>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Position Title …………………………………………………………………………………….</w:t>
                      </w:r>
                    </w:p>
                    <w:p w14:paraId="05F08EC1" w14:textId="77777777" w:rsidR="00510841" w:rsidRPr="00510841" w:rsidRDefault="00510841" w:rsidP="00510841">
                      <w:pPr>
                        <w:pStyle w:val="ListParagraph"/>
                        <w:rPr>
                          <w:rFonts w:ascii="Gilroy Light" w:eastAsiaTheme="minorHAnsi" w:hAnsi="Gilroy Light" w:cs="Calibri"/>
                          <w:color w:val="000000"/>
                          <w:lang w:val="en-GB" w:eastAsia="en-GB"/>
                        </w:rPr>
                      </w:pPr>
                    </w:p>
                    <w:p w14:paraId="78A14133" w14:textId="77777777" w:rsidR="00510841" w:rsidRPr="00510841" w:rsidRDefault="00510841" w:rsidP="00510841">
                      <w:pPr>
                        <w:pStyle w:val="ListParagraph"/>
                        <w:rPr>
                          <w:rFonts w:ascii="Gilroy Light" w:eastAsiaTheme="minorHAnsi" w:hAnsi="Gilroy Light" w:cs="Calibri"/>
                          <w:color w:val="000000"/>
                          <w:lang w:val="en-GB" w:eastAsia="en-GB"/>
                        </w:rPr>
                      </w:pPr>
                    </w:p>
                    <w:p w14:paraId="5D4F3F7B" w14:textId="7F82D7EC" w:rsidR="00510841" w:rsidRPr="00510841" w:rsidRDefault="00510841" w:rsidP="00510841">
                      <w:pPr>
                        <w:pStyle w:val="ListParagraph"/>
                        <w:rPr>
                          <w:rFonts w:ascii="Gilroy Light" w:eastAsiaTheme="minorHAnsi" w:hAnsi="Gilroy Light" w:cs="Calibri"/>
                          <w:color w:val="000000"/>
                          <w:lang w:val="en-GB" w:eastAsia="en-GB"/>
                        </w:rPr>
                      </w:pPr>
                      <w:r w:rsidRPr="00510841">
                        <w:rPr>
                          <w:rFonts w:ascii="Gilroy Light" w:eastAsiaTheme="minorHAnsi" w:hAnsi="Gilroy Light" w:cs="Calibri"/>
                          <w:color w:val="000000"/>
                          <w:lang w:val="en-GB" w:eastAsia="en-GB"/>
                        </w:rPr>
                        <w:t>Employer Name ………………………………………………………………………………</w:t>
                      </w:r>
                    </w:p>
                    <w:p w14:paraId="4443388F" w14:textId="77777777" w:rsidR="00510841" w:rsidRPr="00510841" w:rsidRDefault="00510841" w:rsidP="00510841">
                      <w:pPr>
                        <w:pStyle w:val="ListParagraph"/>
                        <w:rPr>
                          <w:rFonts w:ascii="Gilroy Light" w:eastAsiaTheme="minorHAnsi" w:hAnsi="Gilroy Light" w:cs="Calibri"/>
                          <w:color w:val="000000"/>
                          <w:lang w:val="en-GB" w:eastAsia="en-GB"/>
                        </w:rPr>
                      </w:pPr>
                    </w:p>
                    <w:p w14:paraId="61DDAED9" w14:textId="77777777" w:rsidR="00510841" w:rsidRPr="00510841" w:rsidRDefault="00510841" w:rsidP="00510841">
                      <w:pPr>
                        <w:pStyle w:val="ListParagraph"/>
                        <w:rPr>
                          <w:rFonts w:ascii="Gilroy Light" w:eastAsiaTheme="minorHAnsi" w:hAnsi="Gilroy Light" w:cs="Calibri"/>
                          <w:color w:val="000000"/>
                          <w:lang w:val="en-GB" w:eastAsia="en-GB"/>
                        </w:rPr>
                      </w:pPr>
                    </w:p>
                    <w:p w14:paraId="1089A010" w14:textId="77777777" w:rsidR="00510841" w:rsidRPr="00510841" w:rsidRDefault="00510841" w:rsidP="00510841">
                      <w:pPr>
                        <w:pStyle w:val="ListParagraph"/>
                        <w:rPr>
                          <w:rFonts w:ascii="Gilroy Light" w:eastAsiaTheme="minorHAnsi" w:hAnsi="Gilroy Light" w:cs="Calibri"/>
                          <w:color w:val="000000"/>
                          <w:lang w:val="en-GB" w:eastAsia="en-GB"/>
                        </w:rPr>
                      </w:pPr>
                    </w:p>
                    <w:p w14:paraId="1F5AA73B" w14:textId="77777777" w:rsidR="00510841" w:rsidRPr="00CB4546" w:rsidRDefault="00510841" w:rsidP="00510841">
                      <w:pPr>
                        <w:pStyle w:val="ListParagraph"/>
                        <w:rPr>
                          <w:rFonts w:ascii="Gilroy Light" w:hAnsi="Gilroy Light"/>
                          <w:color w:val="000000"/>
                        </w:rPr>
                      </w:pPr>
                    </w:p>
                  </w:txbxContent>
                </v:textbox>
                <w10:wrap type="square"/>
              </v:shape>
            </w:pict>
          </mc:Fallback>
        </mc:AlternateContent>
      </w:r>
    </w:p>
    <w:p w14:paraId="7D2CC728" w14:textId="2367D366" w:rsidR="00510841" w:rsidRDefault="00510841" w:rsidP="00510841"/>
    <w:p w14:paraId="12FBE14A" w14:textId="3000E17C" w:rsidR="00510841" w:rsidRPr="00510841" w:rsidRDefault="006F21EB" w:rsidP="00510841">
      <w:r w:rsidRPr="006F21EB">
        <w:rPr>
          <w:noProof/>
        </w:rPr>
        <mc:AlternateContent>
          <mc:Choice Requires="wps">
            <w:drawing>
              <wp:anchor distT="0" distB="0" distL="114300" distR="114300" simplePos="0" relativeHeight="251669504" behindDoc="0" locked="0" layoutInCell="1" allowOverlap="1" wp14:anchorId="0B7A0476" wp14:editId="2E363286">
                <wp:simplePos x="0" y="0"/>
                <wp:positionH relativeFrom="column">
                  <wp:posOffset>1326515</wp:posOffset>
                </wp:positionH>
                <wp:positionV relativeFrom="paragraph">
                  <wp:posOffset>8738235</wp:posOffset>
                </wp:positionV>
                <wp:extent cx="6105525" cy="337185"/>
                <wp:effectExtent l="0" t="0" r="9525" b="5715"/>
                <wp:wrapNone/>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552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495BB" w14:textId="1216D814" w:rsidR="006F21EB" w:rsidRPr="004413B4" w:rsidRDefault="006F21EB" w:rsidP="006F21EB">
                            <w:pPr>
                              <w:spacing w:line="240" w:lineRule="exact"/>
                              <w:jc w:val="right"/>
                              <w:rPr>
                                <w:rFonts w:ascii="Calibri" w:hAnsi="Calibri"/>
                                <w:color w:val="FFFFFF" w:themeColor="background1"/>
                                <w:sz w:val="18"/>
                                <w:szCs w:val="18"/>
                              </w:rPr>
                            </w:pPr>
                            <w:r w:rsidRPr="004413B4">
                              <w:rPr>
                                <w:rFonts w:ascii="Calibri" w:hAnsi="Calibri"/>
                                <w:color w:val="FFFFFF" w:themeColor="background1"/>
                                <w:sz w:val="18"/>
                                <w:szCs w:val="18"/>
                              </w:rPr>
                              <w:t xml:space="preserve">Registered charity in </w:t>
                            </w:r>
                            <w:r w:rsidR="00142F56">
                              <w:rPr>
                                <w:rFonts w:ascii="Calibri" w:hAnsi="Calibri"/>
                                <w:color w:val="FFFFFF" w:themeColor="background1"/>
                                <w:sz w:val="18"/>
                                <w:szCs w:val="18"/>
                              </w:rPr>
                              <w:t>England and Wales</w:t>
                            </w:r>
                            <w:r w:rsidRPr="004413B4">
                              <w:rPr>
                                <w:rFonts w:ascii="Calibri" w:hAnsi="Calibri"/>
                                <w:color w:val="FFFFFF" w:themeColor="background1"/>
                                <w:sz w:val="18"/>
                                <w:szCs w:val="18"/>
                              </w:rPr>
                              <w:t xml:space="preserve"> No. 1191420</w:t>
                            </w:r>
                          </w:p>
                          <w:p w14:paraId="57F11DFE" w14:textId="77777777" w:rsidR="006F21EB" w:rsidRPr="004413B4" w:rsidRDefault="006F21EB" w:rsidP="006F21EB">
                            <w:pPr>
                              <w:spacing w:line="240" w:lineRule="exact"/>
                              <w:jc w:val="right"/>
                              <w:rPr>
                                <w:rFonts w:ascii="Calibri" w:hAnsi="Calibri"/>
                                <w:color w:val="FFFFFF" w:themeColor="background1"/>
                                <w:sz w:val="18"/>
                                <w:szCs w:val="18"/>
                                <w:lang w:val="en-GB"/>
                              </w:rPr>
                            </w:pPr>
                            <w:r w:rsidRPr="004413B4">
                              <w:rPr>
                                <w:rFonts w:ascii="Calibri" w:hAnsi="Calibri"/>
                                <w:color w:val="FFFFFF" w:themeColor="background1"/>
                                <w:sz w:val="18"/>
                                <w:szCs w:val="18"/>
                              </w:rPr>
                              <w:t>Registered charity in Scotland No. SC051517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A0476" id="Text Box 78" o:spid="_x0000_s1028" type="#_x0000_t202" style="position:absolute;margin-left:104.45pt;margin-top:688.05pt;width:480.75pt;height:2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" filled="f" stroked="f">
                <v:path arrowok="t"/>
                <v:textbox inset="0,0,0,0">
                  <w:txbxContent>
                    <w:p w14:paraId="710495BB" w14:textId="1216D814" w:rsidR="006F21EB" w:rsidRPr="004413B4" w:rsidRDefault="006F21EB" w:rsidP="006F21EB">
                      <w:pPr>
                        <w:spacing w:line="240" w:lineRule="exact"/>
                        <w:jc w:val="right"/>
                        <w:rPr>
                          <w:rFonts w:ascii="Calibri" w:hAnsi="Calibri"/>
                          <w:color w:val="FFFFFF" w:themeColor="background1"/>
                          <w:sz w:val="18"/>
                          <w:szCs w:val="18"/>
                        </w:rPr>
                      </w:pPr>
                      <w:r w:rsidRPr="004413B4">
                        <w:rPr>
                          <w:rFonts w:ascii="Calibri" w:hAnsi="Calibri"/>
                          <w:color w:val="FFFFFF" w:themeColor="background1"/>
                          <w:sz w:val="18"/>
                          <w:szCs w:val="18"/>
                        </w:rPr>
                        <w:t xml:space="preserve">Registered charity in </w:t>
                      </w:r>
                      <w:r w:rsidR="00142F56">
                        <w:rPr>
                          <w:rFonts w:ascii="Calibri" w:hAnsi="Calibri"/>
                          <w:color w:val="FFFFFF" w:themeColor="background1"/>
                          <w:sz w:val="18"/>
                          <w:szCs w:val="18"/>
                        </w:rPr>
                        <w:t>England and Wales</w:t>
                      </w:r>
                      <w:r w:rsidRPr="004413B4">
                        <w:rPr>
                          <w:rFonts w:ascii="Calibri" w:hAnsi="Calibri"/>
                          <w:color w:val="FFFFFF" w:themeColor="background1"/>
                          <w:sz w:val="18"/>
                          <w:szCs w:val="18"/>
                        </w:rPr>
                        <w:t xml:space="preserve"> No. 1191420</w:t>
                      </w:r>
                    </w:p>
                    <w:p w14:paraId="57F11DFE" w14:textId="77777777" w:rsidR="006F21EB" w:rsidRPr="004413B4" w:rsidRDefault="006F21EB" w:rsidP="006F21EB">
                      <w:pPr>
                        <w:spacing w:line="240" w:lineRule="exact"/>
                        <w:jc w:val="right"/>
                        <w:rPr>
                          <w:rFonts w:ascii="Calibri" w:hAnsi="Calibri"/>
                          <w:color w:val="FFFFFF" w:themeColor="background1"/>
                          <w:sz w:val="18"/>
                          <w:szCs w:val="18"/>
                          <w:lang w:val="en-GB"/>
                        </w:rPr>
                      </w:pPr>
                      <w:r w:rsidRPr="004413B4">
                        <w:rPr>
                          <w:rFonts w:ascii="Calibri" w:hAnsi="Calibri"/>
                          <w:color w:val="FFFFFF" w:themeColor="background1"/>
                          <w:sz w:val="18"/>
                          <w:szCs w:val="18"/>
                        </w:rPr>
                        <w:t>Registered charity in Scotland No. SC051517</w:t>
                      </w:r>
                    </w:p>
                  </w:txbxContent>
                </v:textbox>
              </v:shape>
            </w:pict>
          </mc:Fallback>
        </mc:AlternateContent>
      </w:r>
      <w:r w:rsidRPr="006F21EB">
        <w:rPr>
          <w:noProof/>
        </w:rPr>
        <w:drawing>
          <wp:anchor distT="0" distB="0" distL="114300" distR="114300" simplePos="0" relativeHeight="251670528" behindDoc="0" locked="0" layoutInCell="1" allowOverlap="1" wp14:anchorId="0BDDFABB" wp14:editId="7162CBF1">
            <wp:simplePos x="0" y="0"/>
            <wp:positionH relativeFrom="column">
              <wp:posOffset>190500</wp:posOffset>
            </wp:positionH>
            <wp:positionV relativeFrom="paragraph">
              <wp:posOffset>8764905</wp:posOffset>
            </wp:positionV>
            <wp:extent cx="391160" cy="282575"/>
            <wp:effectExtent l="0" t="0" r="8890" b="3175"/>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160" cy="282575"/>
                    </a:xfrm>
                    <a:prstGeom prst="rect">
                      <a:avLst/>
                    </a:prstGeom>
                  </pic:spPr>
                </pic:pic>
              </a:graphicData>
            </a:graphic>
            <wp14:sizeRelH relativeFrom="margin">
              <wp14:pctWidth>0</wp14:pctWidth>
            </wp14:sizeRelH>
            <wp14:sizeRelV relativeFrom="margin">
              <wp14:pctHeight>0</wp14:pctHeight>
            </wp14:sizeRelV>
          </wp:anchor>
        </w:drawing>
      </w:r>
      <w:r w:rsidRPr="006F21EB">
        <w:rPr>
          <w:noProof/>
        </w:rPr>
        <mc:AlternateContent>
          <mc:Choice Requires="wps">
            <w:drawing>
              <wp:anchor distT="0" distB="0" distL="114300" distR="114300" simplePos="0" relativeHeight="251668480" behindDoc="1" locked="0" layoutInCell="1" allowOverlap="1" wp14:anchorId="40A28790" wp14:editId="7DFBAB50">
                <wp:simplePos x="0" y="0"/>
                <wp:positionH relativeFrom="column">
                  <wp:posOffset>-16510</wp:posOffset>
                </wp:positionH>
                <wp:positionV relativeFrom="paragraph">
                  <wp:posOffset>8663940</wp:posOffset>
                </wp:positionV>
                <wp:extent cx="7560310" cy="529796"/>
                <wp:effectExtent l="0" t="0" r="0" b="381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529796"/>
                        </a:xfrm>
                        <a:prstGeom prst="rect">
                          <a:avLst/>
                        </a:prstGeom>
                        <a:solidFill>
                          <a:srgbClr val="E3061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5E888" id="Rectangle 36" o:spid="_x0000_s1026" style="position:absolute;margin-left:-1.3pt;margin-top:682.2pt;width:595.3pt;height:4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" fillcolor="#e30613" stroked="f"/>
            </w:pict>
          </mc:Fallback>
        </mc:AlternateContent>
      </w:r>
    </w:p>
    <w:sectPr w:rsidR="00510841" w:rsidRPr="00510841" w:rsidSect="006A7B74">
      <w:type w:val="continuous"/>
      <w:pgSz w:w="11910" w:h="16840" w:code="9"/>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mo">
    <w:altName w:val="Calibri"/>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Gilroy ExtraBold">
    <w:panose1 w:val="00000900000000000000"/>
    <w:charset w:val="00"/>
    <w:family w:val="modern"/>
    <w:notTrueType/>
    <w:pitch w:val="variable"/>
    <w:sig w:usb0="00000207" w:usb1="00000000" w:usb2="00000000" w:usb3="00000000" w:csb0="00000097" w:csb1="00000000"/>
  </w:font>
  <w:font w:name="Gilroy Light">
    <w:altName w:val="Calibri"/>
    <w:panose1 w:val="000004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26D"/>
    <w:multiLevelType w:val="hybridMultilevel"/>
    <w:tmpl w:val="34CE317C"/>
    <w:lvl w:ilvl="0" w:tplc="2A822B58">
      <w:start w:val="9"/>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B4D5F"/>
    <w:multiLevelType w:val="hybridMultilevel"/>
    <w:tmpl w:val="050CF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DD4AE9"/>
    <w:multiLevelType w:val="hybridMultilevel"/>
    <w:tmpl w:val="15D0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A0F0E"/>
    <w:multiLevelType w:val="hybridMultilevel"/>
    <w:tmpl w:val="6108E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1F426D4"/>
    <w:multiLevelType w:val="hybridMultilevel"/>
    <w:tmpl w:val="A030F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064D4"/>
    <w:multiLevelType w:val="hybridMultilevel"/>
    <w:tmpl w:val="DC96F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BB1D6E"/>
    <w:multiLevelType w:val="hybridMultilevel"/>
    <w:tmpl w:val="830CC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2801550">
    <w:abstractNumId w:val="1"/>
  </w:num>
  <w:num w:numId="2" w16cid:durableId="647245084">
    <w:abstractNumId w:val="2"/>
  </w:num>
  <w:num w:numId="3" w16cid:durableId="1224025448">
    <w:abstractNumId w:val="3"/>
  </w:num>
  <w:num w:numId="4" w16cid:durableId="1584993450">
    <w:abstractNumId w:val="4"/>
  </w:num>
  <w:num w:numId="5" w16cid:durableId="121657959">
    <w:abstractNumId w:val="6"/>
  </w:num>
  <w:num w:numId="6" w16cid:durableId="291980348">
    <w:abstractNumId w:val="5"/>
  </w:num>
  <w:num w:numId="7" w16cid:durableId="185796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62"/>
    <w:rsid w:val="000367D8"/>
    <w:rsid w:val="000539D8"/>
    <w:rsid w:val="00063AF1"/>
    <w:rsid w:val="00102AC3"/>
    <w:rsid w:val="00142F56"/>
    <w:rsid w:val="00215000"/>
    <w:rsid w:val="002E6862"/>
    <w:rsid w:val="0040644E"/>
    <w:rsid w:val="004413B4"/>
    <w:rsid w:val="00454BAA"/>
    <w:rsid w:val="004558BD"/>
    <w:rsid w:val="00472964"/>
    <w:rsid w:val="00510841"/>
    <w:rsid w:val="00534DF9"/>
    <w:rsid w:val="005A55FC"/>
    <w:rsid w:val="00643516"/>
    <w:rsid w:val="00651E65"/>
    <w:rsid w:val="00667736"/>
    <w:rsid w:val="0067203E"/>
    <w:rsid w:val="006A7B74"/>
    <w:rsid w:val="006E09DF"/>
    <w:rsid w:val="006F21EB"/>
    <w:rsid w:val="00711990"/>
    <w:rsid w:val="00717E96"/>
    <w:rsid w:val="007F39B4"/>
    <w:rsid w:val="008235AA"/>
    <w:rsid w:val="008761F1"/>
    <w:rsid w:val="008B5DE2"/>
    <w:rsid w:val="009E060F"/>
    <w:rsid w:val="00AA0417"/>
    <w:rsid w:val="00AF1E77"/>
    <w:rsid w:val="00B04482"/>
    <w:rsid w:val="00B12046"/>
    <w:rsid w:val="00C51A23"/>
    <w:rsid w:val="00C82F9B"/>
    <w:rsid w:val="00CA6641"/>
    <w:rsid w:val="00CB4546"/>
    <w:rsid w:val="00CE3B28"/>
    <w:rsid w:val="00D553FE"/>
    <w:rsid w:val="00DF47C0"/>
    <w:rsid w:val="00E423C9"/>
    <w:rsid w:val="00E657BB"/>
    <w:rsid w:val="00E77F10"/>
    <w:rsid w:val="00F97045"/>
    <w:rsid w:val="00FD6FDA"/>
    <w:rsid w:val="00FE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 fill="f" fillcolor="white" stroke="f">
      <v:fill color="white" on="f"/>
      <v:stroke on="f"/>
      <v:textbox style="mso-fit-shape-to-text:t" inset="0,0,0,0"/>
    </o:shapedefaults>
    <o:shapelayout v:ext="edit">
      <o:idmap v:ext="edit" data="1"/>
    </o:shapelayout>
  </w:shapeDefaults>
  <w:decimalSymbol w:val="."/>
  <w:listSeparator w:val=","/>
  <w14:docId w14:val="1ECA1E98"/>
  <w15:docId w15:val="{C8AFA6E8-9CAA-3F44-828C-5571B219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E6862"/>
    <w:rPr>
      <w:rFonts w:ascii="Arimo" w:eastAsia="Arimo" w:hAnsi="Arimo" w:cs="Ari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6862"/>
    <w:pPr>
      <w:spacing w:before="14"/>
      <w:ind w:left="20"/>
    </w:pPr>
    <w:rPr>
      <w:sz w:val="16"/>
      <w:szCs w:val="16"/>
    </w:rPr>
  </w:style>
  <w:style w:type="paragraph" w:styleId="ListParagraph">
    <w:name w:val="List Paragraph"/>
    <w:basedOn w:val="Normal"/>
    <w:uiPriority w:val="1"/>
    <w:qFormat/>
    <w:rsid w:val="002E6862"/>
  </w:style>
  <w:style w:type="paragraph" w:customStyle="1" w:styleId="TableParagraph">
    <w:name w:val="Table Paragraph"/>
    <w:basedOn w:val="Normal"/>
    <w:uiPriority w:val="1"/>
    <w:qFormat/>
    <w:rsid w:val="002E6862"/>
  </w:style>
  <w:style w:type="paragraph" w:styleId="BalloonText">
    <w:name w:val="Balloon Text"/>
    <w:basedOn w:val="Normal"/>
    <w:link w:val="BalloonTextChar"/>
    <w:uiPriority w:val="99"/>
    <w:semiHidden/>
    <w:unhideWhenUsed/>
    <w:rsid w:val="00C51A23"/>
    <w:rPr>
      <w:rFonts w:ascii="Tahoma" w:hAnsi="Tahoma" w:cs="Tahoma"/>
      <w:sz w:val="16"/>
      <w:szCs w:val="16"/>
    </w:rPr>
  </w:style>
  <w:style w:type="character" w:customStyle="1" w:styleId="BalloonTextChar">
    <w:name w:val="Balloon Text Char"/>
    <w:basedOn w:val="DefaultParagraphFont"/>
    <w:link w:val="BalloonText"/>
    <w:uiPriority w:val="99"/>
    <w:semiHidden/>
    <w:rsid w:val="00C51A23"/>
    <w:rPr>
      <w:rFonts w:ascii="Tahoma" w:eastAsia="Arimo" w:hAnsi="Tahoma" w:cs="Tahoma"/>
      <w:sz w:val="16"/>
      <w:szCs w:val="16"/>
    </w:rPr>
  </w:style>
  <w:style w:type="character" w:customStyle="1" w:styleId="BodyTextChar">
    <w:name w:val="Body Text Char"/>
    <w:basedOn w:val="DefaultParagraphFont"/>
    <w:link w:val="BodyText"/>
    <w:uiPriority w:val="1"/>
    <w:rsid w:val="00C51A23"/>
    <w:rPr>
      <w:rFonts w:ascii="Arimo" w:eastAsia="Arimo" w:hAnsi="Arimo" w:cs="Arimo"/>
      <w:sz w:val="16"/>
      <w:szCs w:val="16"/>
    </w:rPr>
  </w:style>
  <w:style w:type="character" w:styleId="Hyperlink">
    <w:name w:val="Hyperlink"/>
    <w:basedOn w:val="DefaultParagraphFont"/>
    <w:uiPriority w:val="99"/>
    <w:unhideWhenUsed/>
    <w:rsid w:val="00E423C9"/>
    <w:rPr>
      <w:color w:val="0000FF" w:themeColor="hyperlink"/>
      <w:u w:val="single"/>
    </w:rPr>
  </w:style>
  <w:style w:type="character" w:styleId="UnresolvedMention">
    <w:name w:val="Unresolved Mention"/>
    <w:basedOn w:val="DefaultParagraphFont"/>
    <w:uiPriority w:val="99"/>
    <w:semiHidden/>
    <w:unhideWhenUsed/>
    <w:rsid w:val="00E423C9"/>
    <w:rPr>
      <w:color w:val="605E5C"/>
      <w:shd w:val="clear" w:color="auto" w:fill="E1DFDD"/>
    </w:rPr>
  </w:style>
  <w:style w:type="paragraph" w:styleId="NormalWeb">
    <w:name w:val="Normal (Web)"/>
    <w:basedOn w:val="Normal"/>
    <w:uiPriority w:val="99"/>
    <w:unhideWhenUsed/>
    <w:rsid w:val="00CA6641"/>
    <w:pPr>
      <w:widowControl/>
      <w:autoSpaceDE/>
      <w:autoSpaceDN/>
    </w:pPr>
    <w:rPr>
      <w:rFonts w:ascii="Calibri" w:eastAsiaTheme="minorHAnsi" w:hAnsi="Calibri" w:cs="Calibri"/>
      <w:lang w:val="en-GB" w:eastAsia="en-GB"/>
    </w:rPr>
  </w:style>
  <w:style w:type="character" w:customStyle="1" w:styleId="apple-converted-space">
    <w:name w:val="apple-converted-space"/>
    <w:basedOn w:val="DefaultParagraphFont"/>
    <w:rsid w:val="00CA6641"/>
  </w:style>
  <w:style w:type="paragraph" w:styleId="Revision">
    <w:name w:val="Revision"/>
    <w:hidden/>
    <w:uiPriority w:val="99"/>
    <w:semiHidden/>
    <w:rsid w:val="00AF1E77"/>
    <w:pPr>
      <w:widowControl/>
      <w:autoSpaceDE/>
      <w:autoSpaceDN/>
    </w:pPr>
    <w:rPr>
      <w:rFonts w:ascii="Arimo" w:eastAsia="Arimo" w:hAnsi="Arimo" w:cs="Ari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Fowler</dc:creator>
  <cp:lastModifiedBy>Keith Fowler</cp:lastModifiedBy>
  <cp:revision>6</cp:revision>
  <cp:lastPrinted>2021-02-21T10:42:00Z</cp:lastPrinted>
  <dcterms:created xsi:type="dcterms:W3CDTF">2023-03-06T17:14:00Z</dcterms:created>
  <dcterms:modified xsi:type="dcterms:W3CDTF">2024-02-06T14:52:00Z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Adobe Illustrator CC 2015 (Windows)</vt:lpwstr>
  </property>
  <property fmtid="{D5CDD505-2E9C-101B-9397-08002B2CF9AE}" pid="4" name="LastSaved">
    <vt:filetime>2017-12-19T00:00:00Z</vt:filetime>
  </property>
</Properties>
</file>